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60" w:tblpY="785"/>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860"/>
        <w:gridCol w:w="3420"/>
        <w:gridCol w:w="3690"/>
      </w:tblGrid>
      <w:tr w:rsidR="00AD031F" w:rsidRPr="00AD031F" w:rsidTr="0097501F">
        <w:trPr>
          <w:trHeight w:val="703"/>
        </w:trPr>
        <w:tc>
          <w:tcPr>
            <w:tcW w:w="3860" w:type="dxa"/>
            <w:vMerge w:val="restart"/>
          </w:tcPr>
          <w:p w:rsidR="00AD031F" w:rsidRPr="00AD031F" w:rsidRDefault="00AD031F" w:rsidP="00F21990">
            <w:pPr>
              <w:spacing w:line="120" w:lineRule="exact"/>
              <w:rPr>
                <w14:textOutline w14:w="9525" w14:cap="rnd" w14:cmpd="dbl" w14:algn="ctr">
                  <w14:solidFill>
                    <w14:srgbClr w14:val="000000"/>
                  </w14:solidFill>
                  <w14:prstDash w14:val="solid"/>
                  <w14:bevel/>
                </w14:textOutline>
              </w:rPr>
            </w:pPr>
          </w:p>
          <w:p w:rsidR="00AD031F" w:rsidRPr="00AD031F" w:rsidRDefault="004B1052" w:rsidP="00F21990">
            <w:pPr>
              <w:pBdr>
                <w:top w:val="single" w:sz="6" w:space="0" w:color="FFFFFF"/>
                <w:left w:val="single" w:sz="6" w:space="0" w:color="FFFFFF"/>
                <w:bottom w:val="single" w:sz="6" w:space="0" w:color="FFFFFF"/>
                <w:right w:val="single" w:sz="6" w:space="0" w:color="FFFFFF"/>
              </w:pBdr>
              <w:rPr>
                <w:sz w:val="24"/>
                <w14:textOutline w14:w="9525" w14:cap="rnd" w14:cmpd="dbl" w14:algn="ctr">
                  <w14:solidFill>
                    <w14:srgbClr w14:val="000000"/>
                  </w14:solidFill>
                  <w14:prstDash w14:val="solid"/>
                  <w14:bevel/>
                </w14:textOutline>
              </w:rPr>
            </w:pPr>
            <w:r>
              <w:rPr>
                <w:noProof/>
                <w:sz w:val="24"/>
              </w:rPr>
              <w:drawing>
                <wp:inline distT="0" distB="0" distL="0" distR="0">
                  <wp:extent cx="2298700" cy="4895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Logo - FMC Logo.jpg"/>
                          <pic:cNvPicPr/>
                        </pic:nvPicPr>
                        <pic:blipFill>
                          <a:blip r:embed="rId8">
                            <a:extLst>
                              <a:ext uri="{28A0092B-C50C-407E-A947-70E740481C1C}">
                                <a14:useLocalDpi xmlns:a14="http://schemas.microsoft.com/office/drawing/2010/main" val="0"/>
                              </a:ext>
                            </a:extLst>
                          </a:blip>
                          <a:stretch>
                            <a:fillRect/>
                          </a:stretch>
                        </pic:blipFill>
                        <pic:spPr>
                          <a:xfrm>
                            <a:off x="0" y="0"/>
                            <a:ext cx="2298700" cy="489585"/>
                          </a:xfrm>
                          <a:prstGeom prst="rect">
                            <a:avLst/>
                          </a:prstGeom>
                        </pic:spPr>
                      </pic:pic>
                    </a:graphicData>
                  </a:graphic>
                </wp:inline>
              </w:drawing>
            </w:r>
          </w:p>
          <w:p w:rsidR="00AD031F" w:rsidRPr="00AD031F" w:rsidRDefault="00AD031F" w:rsidP="00F21990">
            <w:pPr>
              <w:spacing w:after="58"/>
              <w:rPr>
                <w:rFonts w:ascii="Arial" w:hAnsi="Arial" w:cs="Arial"/>
                <w:b/>
                <w:bCs/>
                <w:szCs w:val="20"/>
                <w14:textOutline w14:w="9525" w14:cap="rnd" w14:cmpd="dbl" w14:algn="ctr">
                  <w14:solidFill>
                    <w14:srgbClr w14:val="000000"/>
                  </w14:solidFill>
                  <w14:prstDash w14:val="solid"/>
                  <w14:bevel/>
                </w14:textOutline>
              </w:rPr>
            </w:pPr>
          </w:p>
        </w:tc>
        <w:tc>
          <w:tcPr>
            <w:tcW w:w="3420" w:type="dxa"/>
            <w:vMerge w:val="restart"/>
          </w:tcPr>
          <w:p w:rsidR="00AD031F" w:rsidRPr="00AD031F" w:rsidRDefault="00AD031F" w:rsidP="00F21990">
            <w:pPr>
              <w:spacing w:line="120" w:lineRule="exact"/>
              <w:rPr>
                <w:rFonts w:ascii="Arial" w:hAnsi="Arial" w:cs="Arial"/>
                <w:bCs/>
                <w:szCs w:val="20"/>
                <w14:textOutline w14:w="9525" w14:cap="rnd" w14:cmpd="dbl" w14:algn="ctr">
                  <w14:solidFill>
                    <w14:srgbClr w14:val="000000"/>
                  </w14:solidFill>
                  <w14:prstDash w14:val="solid"/>
                  <w14:bevel/>
                </w14:textOutline>
              </w:rPr>
            </w:pPr>
          </w:p>
          <w:p w:rsidR="00AD031F" w:rsidRPr="00AD031F" w:rsidRDefault="00AD031F" w:rsidP="00F21990">
            <w:pPr>
              <w:jc w:val="center"/>
              <w:rPr>
                <w:rFonts w:ascii="Arial" w:hAnsi="Arial" w:cs="Arial"/>
                <w:bCs/>
                <w:szCs w:val="20"/>
                <w14:textOutline w14:w="9525" w14:cap="rnd" w14:cmpd="dbl" w14:algn="ctr">
                  <w14:solidFill>
                    <w14:srgbClr w14:val="000000"/>
                  </w14:solidFill>
                  <w14:prstDash w14:val="solid"/>
                  <w14:bevel/>
                </w14:textOutline>
              </w:rPr>
            </w:pPr>
          </w:p>
          <w:p w:rsidR="00AD031F" w:rsidRPr="00A6232A" w:rsidRDefault="001C62B2" w:rsidP="00F21990">
            <w:pPr>
              <w:jc w:val="center"/>
              <w:rPr>
                <w:rFonts w:ascii="Arial" w:hAnsi="Arial" w:cs="Arial"/>
                <w:b/>
                <w:bCs/>
                <w:szCs w:val="20"/>
              </w:rPr>
            </w:pPr>
            <w:r>
              <w:rPr>
                <w:rFonts w:ascii="Arial" w:hAnsi="Arial" w:cs="Arial"/>
                <w:b/>
                <w:bCs/>
                <w:szCs w:val="20"/>
              </w:rPr>
              <w:t>DEPARTMENTAL</w:t>
            </w:r>
          </w:p>
          <w:p w:rsidR="00AD031F" w:rsidRDefault="00AD031F" w:rsidP="00F21990">
            <w:pPr>
              <w:jc w:val="center"/>
              <w:rPr>
                <w:rFonts w:ascii="Arial" w:hAnsi="Arial" w:cs="Arial"/>
                <w:b/>
                <w:bCs/>
                <w:szCs w:val="20"/>
              </w:rPr>
            </w:pPr>
          </w:p>
          <w:p w:rsidR="00AD031F" w:rsidRPr="00AD031F" w:rsidRDefault="00AD031F" w:rsidP="00F21990">
            <w:pPr>
              <w:spacing w:after="58"/>
              <w:jc w:val="center"/>
              <w:rPr>
                <w:rFonts w:ascii="Arial" w:hAnsi="Arial" w:cs="Arial"/>
                <w:bCs/>
                <w:szCs w:val="20"/>
                <w14:textOutline w14:w="9525" w14:cap="rnd" w14:cmpd="dbl" w14:algn="ctr">
                  <w14:solidFill>
                    <w14:srgbClr w14:val="000000"/>
                  </w14:solidFill>
                  <w14:prstDash w14:val="solid"/>
                  <w14:bevel/>
                </w14:textOutline>
              </w:rPr>
            </w:pPr>
            <w:r>
              <w:rPr>
                <w:rFonts w:ascii="Arial" w:hAnsi="Arial" w:cs="Arial"/>
                <w:b/>
                <w:bCs/>
                <w:szCs w:val="20"/>
              </w:rPr>
              <w:t>GUIDELINES OF PRACTICE</w:t>
            </w:r>
          </w:p>
        </w:tc>
        <w:tc>
          <w:tcPr>
            <w:tcW w:w="3690" w:type="dxa"/>
          </w:tcPr>
          <w:p w:rsidR="00AD031F" w:rsidRDefault="00AD031F" w:rsidP="00F21990">
            <w:pPr>
              <w:spacing w:line="120" w:lineRule="exact"/>
              <w:rPr>
                <w:rFonts w:ascii="Arial" w:hAnsi="Arial" w:cs="Arial"/>
                <w:b/>
                <w:bCs/>
                <w:szCs w:val="20"/>
              </w:rPr>
            </w:pPr>
          </w:p>
          <w:p w:rsidR="00AD031F" w:rsidRPr="0097501F" w:rsidRDefault="00AD031F" w:rsidP="00F21990">
            <w:pPr>
              <w:tabs>
                <w:tab w:val="left" w:pos="1146"/>
              </w:tabs>
              <w:rPr>
                <w:rFonts w:ascii="Arial" w:hAnsi="Arial" w:cs="Arial"/>
                <w:b/>
                <w:bCs/>
                <w:color w:val="FF0000"/>
                <w:szCs w:val="20"/>
              </w:rPr>
            </w:pPr>
            <w:r w:rsidRPr="00CB511A">
              <w:rPr>
                <w:rFonts w:ascii="Arial" w:hAnsi="Arial" w:cs="Arial"/>
                <w:b/>
                <w:bCs/>
                <w:caps/>
                <w:szCs w:val="20"/>
              </w:rPr>
              <w:t>Number</w:t>
            </w:r>
            <w:r>
              <w:rPr>
                <w:rFonts w:ascii="Arial" w:hAnsi="Arial" w:cs="Arial"/>
                <w:b/>
                <w:bCs/>
                <w:szCs w:val="20"/>
              </w:rPr>
              <w:t xml:space="preserve">:   </w:t>
            </w:r>
            <w:r w:rsidR="00DF0331">
              <w:rPr>
                <w:rFonts w:ascii="Arial" w:hAnsi="Arial" w:cs="Arial"/>
              </w:rPr>
              <w:t>PHC 1-26</w:t>
            </w:r>
          </w:p>
          <w:p w:rsidR="00AD031F" w:rsidRDefault="00AD031F" w:rsidP="00F21990">
            <w:pPr>
              <w:tabs>
                <w:tab w:val="left" w:pos="1146"/>
              </w:tabs>
              <w:rPr>
                <w:rFonts w:ascii="Arial" w:hAnsi="Arial" w:cs="Arial"/>
                <w:b/>
                <w:bCs/>
                <w:szCs w:val="20"/>
              </w:rPr>
            </w:pPr>
            <w:r>
              <w:rPr>
                <w:rFonts w:ascii="Arial" w:hAnsi="Arial" w:cs="Arial"/>
                <w:b/>
                <w:bCs/>
                <w:szCs w:val="20"/>
              </w:rPr>
              <w:tab/>
              <w:t xml:space="preserve">Page 1 of </w:t>
            </w:r>
            <w:r w:rsidR="005C368C">
              <w:rPr>
                <w:rFonts w:ascii="Arial" w:hAnsi="Arial" w:cs="Arial"/>
                <w:b/>
                <w:bCs/>
                <w:szCs w:val="20"/>
              </w:rPr>
              <w:fldChar w:fldCharType="begin"/>
            </w:r>
            <w:r w:rsidR="005C368C">
              <w:rPr>
                <w:rFonts w:ascii="Arial" w:hAnsi="Arial" w:cs="Arial"/>
                <w:b/>
                <w:bCs/>
                <w:szCs w:val="20"/>
              </w:rPr>
              <w:instrText xml:space="preserve"> NUMPAGES   \* MERGEFORMAT </w:instrText>
            </w:r>
            <w:r w:rsidR="005C368C">
              <w:rPr>
                <w:rFonts w:ascii="Arial" w:hAnsi="Arial" w:cs="Arial"/>
                <w:b/>
                <w:bCs/>
                <w:szCs w:val="20"/>
              </w:rPr>
              <w:fldChar w:fldCharType="separate"/>
            </w:r>
            <w:r w:rsidR="00DF0331">
              <w:rPr>
                <w:rFonts w:ascii="Arial" w:hAnsi="Arial" w:cs="Arial"/>
                <w:b/>
                <w:bCs/>
                <w:noProof/>
                <w:szCs w:val="20"/>
              </w:rPr>
              <w:t>3</w:t>
            </w:r>
            <w:r w:rsidR="005C368C">
              <w:rPr>
                <w:rFonts w:ascii="Arial" w:hAnsi="Arial" w:cs="Arial"/>
                <w:b/>
                <w:bCs/>
                <w:szCs w:val="20"/>
              </w:rPr>
              <w:fldChar w:fldCharType="end"/>
            </w:r>
          </w:p>
        </w:tc>
      </w:tr>
      <w:tr w:rsidR="00AD031F" w:rsidRPr="00AD031F" w:rsidTr="0097501F">
        <w:trPr>
          <w:trHeight w:val="565"/>
        </w:trPr>
        <w:tc>
          <w:tcPr>
            <w:tcW w:w="3860" w:type="dxa"/>
            <w:vMerge/>
          </w:tcPr>
          <w:p w:rsidR="00AD031F" w:rsidRPr="00AD031F" w:rsidRDefault="00AD031F" w:rsidP="00F21990">
            <w:pPr>
              <w:spacing w:line="120" w:lineRule="exact"/>
              <w:rPr>
                <w14:textOutline w14:w="9525" w14:cap="rnd" w14:cmpd="dbl" w14:algn="ctr">
                  <w14:solidFill>
                    <w14:srgbClr w14:val="000000"/>
                  </w14:solidFill>
                  <w14:prstDash w14:val="solid"/>
                  <w14:bevel/>
                </w14:textOutline>
              </w:rPr>
            </w:pPr>
          </w:p>
        </w:tc>
        <w:tc>
          <w:tcPr>
            <w:tcW w:w="3420" w:type="dxa"/>
            <w:vMerge/>
          </w:tcPr>
          <w:p w:rsidR="00AD031F" w:rsidRPr="00AD031F" w:rsidRDefault="00AD031F" w:rsidP="00F21990">
            <w:pPr>
              <w:spacing w:line="120" w:lineRule="exact"/>
              <w:rPr>
                <w:rFonts w:ascii="Arial" w:hAnsi="Arial" w:cs="Arial"/>
                <w:bCs/>
                <w:szCs w:val="20"/>
                <w14:textOutline w14:w="9525" w14:cap="rnd" w14:cmpd="dbl" w14:algn="ctr">
                  <w14:solidFill>
                    <w14:srgbClr w14:val="000000"/>
                  </w14:solidFill>
                  <w14:prstDash w14:val="solid"/>
                  <w14:bevel/>
                </w14:textOutline>
              </w:rPr>
            </w:pPr>
          </w:p>
        </w:tc>
        <w:tc>
          <w:tcPr>
            <w:tcW w:w="3690" w:type="dxa"/>
          </w:tcPr>
          <w:p w:rsidR="00AD031F" w:rsidRDefault="00AD031F" w:rsidP="0097501F">
            <w:pPr>
              <w:spacing w:after="120"/>
              <w:rPr>
                <w:rFonts w:ascii="Arial" w:hAnsi="Arial" w:cs="Arial"/>
                <w:b/>
                <w:bCs/>
                <w:szCs w:val="20"/>
              </w:rPr>
            </w:pPr>
            <w:r w:rsidRPr="00CB511A">
              <w:rPr>
                <w:rFonts w:ascii="Arial" w:hAnsi="Arial" w:cs="Arial"/>
                <w:b/>
                <w:bCs/>
                <w:caps/>
                <w:szCs w:val="20"/>
              </w:rPr>
              <w:t>Date</w:t>
            </w:r>
            <w:r>
              <w:rPr>
                <w:rFonts w:ascii="Arial" w:hAnsi="Arial" w:cs="Arial"/>
                <w:b/>
                <w:bCs/>
                <w:szCs w:val="20"/>
              </w:rPr>
              <w:t xml:space="preserve"> OF ORIGIN:</w:t>
            </w:r>
          </w:p>
          <w:p w:rsidR="0097501F" w:rsidRDefault="00DF0331" w:rsidP="00D234BD">
            <w:pPr>
              <w:jc w:val="center"/>
              <w:rPr>
                <w:rFonts w:ascii="Arial" w:hAnsi="Arial" w:cs="Arial"/>
                <w:b/>
                <w:bCs/>
                <w:szCs w:val="20"/>
              </w:rPr>
            </w:pPr>
            <w:r>
              <w:rPr>
                <w:rFonts w:ascii="Arial" w:hAnsi="Arial" w:cs="Arial"/>
                <w:bCs/>
                <w:szCs w:val="20"/>
              </w:rPr>
              <w:t>February 22, 2007</w:t>
            </w:r>
          </w:p>
        </w:tc>
      </w:tr>
      <w:tr w:rsidR="00AD031F" w:rsidRPr="00AD031F" w:rsidTr="00F21990">
        <w:trPr>
          <w:trHeight w:val="565"/>
        </w:trPr>
        <w:tc>
          <w:tcPr>
            <w:tcW w:w="10970" w:type="dxa"/>
            <w:gridSpan w:val="3"/>
            <w:vAlign w:val="center"/>
          </w:tcPr>
          <w:p w:rsidR="001C62B2" w:rsidRPr="00905C1C" w:rsidRDefault="001C62B2" w:rsidP="001C62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rPr>
            </w:pPr>
            <w:r w:rsidRPr="00905C1C">
              <w:rPr>
                <w:rFonts w:ascii="Arial" w:hAnsi="Arial" w:cs="Arial"/>
                <w:b/>
              </w:rPr>
              <w:t>TITLE:</w:t>
            </w:r>
          </w:p>
          <w:p w:rsidR="001C62B2" w:rsidRPr="00E76AFE" w:rsidRDefault="001C62B2" w:rsidP="001C62B2">
            <w:pPr>
              <w:tabs>
                <w:tab w:val="left" w:pos="0"/>
                <w:tab w:val="center" w:pos="5065"/>
              </w:tabs>
              <w:jc w:val="center"/>
              <w:rPr>
                <w:rFonts w:ascii="Arial" w:hAnsi="Arial" w:cs="Arial"/>
                <w:b/>
                <w:caps/>
              </w:rPr>
            </w:pPr>
            <w:r>
              <w:rPr>
                <w:rFonts w:ascii="Arial" w:hAnsi="Arial" w:cs="Arial"/>
                <w:b/>
              </w:rPr>
              <w:t xml:space="preserve">       </w:t>
            </w:r>
            <w:r w:rsidR="00DF0331">
              <w:rPr>
                <w:rFonts w:ascii="Arial" w:hAnsi="Arial" w:cs="Arial"/>
                <w:b/>
                <w:sz w:val="22"/>
                <w:szCs w:val="22"/>
              </w:rPr>
              <w:t>USE AND CONTROL OF PRE-HOSPITAL MEDICATIONS</w:t>
            </w:r>
          </w:p>
          <w:p w:rsidR="00A146CC" w:rsidRPr="00AD031F" w:rsidRDefault="00A146CC" w:rsidP="00402436">
            <w:pPr>
              <w:jc w:val="center"/>
              <w:rPr>
                <w:rFonts w:ascii="Arial" w:hAnsi="Arial" w:cs="Arial"/>
                <w:bCs/>
                <w:szCs w:val="20"/>
                <w14:textOutline w14:w="9525" w14:cap="rnd" w14:cmpd="dbl" w14:algn="ctr">
                  <w14:solidFill>
                    <w14:srgbClr w14:val="000000"/>
                  </w14:solidFill>
                  <w14:prstDash w14:val="solid"/>
                  <w14:bevel/>
                </w14:textOutline>
              </w:rPr>
            </w:pPr>
          </w:p>
        </w:tc>
      </w:tr>
    </w:tbl>
    <w:p w:rsidR="00DE381A" w:rsidRPr="00DE381A" w:rsidRDefault="00DE381A" w:rsidP="00DE381A">
      <w:pPr>
        <w:outlineLvl w:val="0"/>
        <w:rPr>
          <w:rFonts w:ascii="Arial" w:hAnsi="Arial" w:cs="Arial"/>
          <w:szCs w:val="20"/>
        </w:rPr>
      </w:pPr>
    </w:p>
    <w:p w:rsidR="002177B2" w:rsidRDefault="002177B2" w:rsidP="00AD031F">
      <w:pPr>
        <w:ind w:right="29"/>
        <w:jc w:val="both"/>
        <w:rPr>
          <w:rFonts w:ascii="Arial" w:hAnsi="Arial" w:cs="Arial"/>
          <w:u w:val="single"/>
        </w:rPr>
      </w:pPr>
    </w:p>
    <w:p w:rsidR="00DF0331" w:rsidRPr="00DF0331" w:rsidRDefault="00DF0331" w:rsidP="00DF0331">
      <w:pPr>
        <w:spacing w:after="120"/>
        <w:rPr>
          <w:rFonts w:ascii="Arial" w:hAnsi="Arial" w:cs="Arial"/>
          <w:szCs w:val="20"/>
          <w:u w:val="single"/>
        </w:rPr>
      </w:pPr>
      <w:r w:rsidRPr="00DF0331">
        <w:rPr>
          <w:rFonts w:ascii="Arial" w:hAnsi="Arial" w:cs="Arial"/>
          <w:szCs w:val="20"/>
          <w:u w:val="single"/>
          <w:lang w:val="en-CA"/>
        </w:rPr>
        <w:t>PURPOSE</w:t>
      </w:r>
    </w:p>
    <w:p w:rsidR="00DF0331" w:rsidRPr="00DF0331" w:rsidRDefault="00DF0331" w:rsidP="00DF0331">
      <w:pPr>
        <w:spacing w:after="120"/>
        <w:rPr>
          <w:rFonts w:ascii="Arial" w:hAnsi="Arial" w:cs="Arial"/>
          <w:szCs w:val="20"/>
        </w:rPr>
      </w:pPr>
      <w:r w:rsidRPr="00DF0331">
        <w:rPr>
          <w:rFonts w:ascii="Arial" w:hAnsi="Arial" w:cs="Arial"/>
          <w:szCs w:val="20"/>
        </w:rPr>
        <w:t>Flagstaff Medical Center ALS Base Hospital Administrative Medical Director will oversee the use and control of pre-hospital agents.  The Base Hospital Pharmacist-in-charge, if pharmacy supplies and retains ownership of agents, will oversee control of agents supplied to EMS providers.</w:t>
      </w:r>
    </w:p>
    <w:p w:rsidR="00DF0331" w:rsidRPr="00DF0331" w:rsidRDefault="00DF0331" w:rsidP="00DF0331">
      <w:pPr>
        <w:spacing w:after="120"/>
        <w:rPr>
          <w:rFonts w:ascii="Arial" w:hAnsi="Arial" w:cs="Arial"/>
          <w:szCs w:val="20"/>
        </w:rPr>
      </w:pPr>
      <w:r w:rsidRPr="00DF0331">
        <w:rPr>
          <w:rFonts w:ascii="Arial" w:hAnsi="Arial" w:cs="Arial"/>
          <w:szCs w:val="20"/>
          <w:u w:val="single"/>
          <w:lang w:val="en-CA"/>
        </w:rPr>
        <w:fldChar w:fldCharType="begin"/>
      </w:r>
      <w:r w:rsidRPr="00DF0331">
        <w:rPr>
          <w:rFonts w:ascii="Arial" w:hAnsi="Arial" w:cs="Arial"/>
          <w:szCs w:val="20"/>
          <w:u w:val="single"/>
          <w:lang w:val="en-CA"/>
        </w:rPr>
        <w:instrText xml:space="preserve"> SEQ CHAPTER \h \r 1</w:instrText>
      </w:r>
      <w:r w:rsidRPr="00DF0331">
        <w:rPr>
          <w:rFonts w:ascii="Arial" w:hAnsi="Arial" w:cs="Arial"/>
          <w:szCs w:val="20"/>
          <w:u w:val="single"/>
          <w:lang w:val="en-CA"/>
        </w:rPr>
        <w:fldChar w:fldCharType="end"/>
      </w:r>
      <w:r w:rsidRPr="00DF0331">
        <w:rPr>
          <w:rFonts w:ascii="Arial" w:hAnsi="Arial" w:cs="Arial"/>
          <w:szCs w:val="20"/>
          <w:u w:val="single"/>
        </w:rPr>
        <w:t>DEFINITION</w:t>
      </w:r>
      <w:r w:rsidRPr="00DF0331">
        <w:rPr>
          <w:rFonts w:ascii="Arial" w:hAnsi="Arial" w:cs="Arial"/>
          <w:szCs w:val="20"/>
        </w:rPr>
        <w:tab/>
        <w:t>N/A</w:t>
      </w:r>
    </w:p>
    <w:p w:rsidR="00DF0331" w:rsidRPr="00DF0331" w:rsidRDefault="00DF0331" w:rsidP="00DF0331">
      <w:pPr>
        <w:spacing w:after="120"/>
        <w:ind w:left="720" w:hanging="720"/>
        <w:rPr>
          <w:rFonts w:ascii="Arial" w:hAnsi="Arial" w:cs="Arial"/>
          <w:szCs w:val="20"/>
          <w:u w:val="single"/>
        </w:rPr>
      </w:pPr>
      <w:r w:rsidRPr="00DF0331">
        <w:rPr>
          <w:rFonts w:ascii="Arial" w:hAnsi="Arial" w:cs="Arial"/>
          <w:szCs w:val="20"/>
          <w:u w:val="single"/>
        </w:rPr>
        <w:t>PROCEDURE</w:t>
      </w:r>
    </w:p>
    <w:p w:rsidR="00DF0331" w:rsidRPr="00DF0331" w:rsidRDefault="00DF0331" w:rsidP="00DF0331">
      <w:pPr>
        <w:spacing w:after="120"/>
        <w:rPr>
          <w:rFonts w:ascii="Arial" w:hAnsi="Arial" w:cs="Arial"/>
          <w:szCs w:val="20"/>
          <w:u w:val="single"/>
        </w:rPr>
      </w:pPr>
      <w:r w:rsidRPr="00DF0331">
        <w:rPr>
          <w:rFonts w:ascii="Arial" w:hAnsi="Arial" w:cs="Arial"/>
          <w:szCs w:val="20"/>
          <w:u w:val="single"/>
        </w:rPr>
        <w:t>USE OF PRE-HOSPITAL AGENTS</w:t>
      </w:r>
    </w:p>
    <w:p w:rsidR="00DF0331" w:rsidRPr="00DF0331" w:rsidRDefault="00DF0331" w:rsidP="00DF0331">
      <w:pPr>
        <w:widowControl/>
        <w:numPr>
          <w:ilvl w:val="0"/>
          <w:numId w:val="2"/>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An EMCT will administer an agent only if authorized to do so under A.C.C. R9-25 Article 5 and by the Administrative Medical Director.</w:t>
      </w:r>
    </w:p>
    <w:p w:rsidR="00DF0331" w:rsidRPr="00DF0331" w:rsidRDefault="00DF0331" w:rsidP="00DF0331">
      <w:pPr>
        <w:widowControl/>
        <w:numPr>
          <w:ilvl w:val="0"/>
          <w:numId w:val="2"/>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An EMCT will monitor an agent only if authorized to do so under A.C.C. R9-25 Article 5 and by the Administrative Medical Director.</w:t>
      </w:r>
    </w:p>
    <w:p w:rsidR="00DF0331" w:rsidRPr="00DF0331" w:rsidRDefault="00DF0331" w:rsidP="00DF0331">
      <w:pPr>
        <w:widowControl/>
        <w:numPr>
          <w:ilvl w:val="0"/>
          <w:numId w:val="2"/>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An EMCT will assist with patient self-administered agents only if:</w:t>
      </w:r>
    </w:p>
    <w:p w:rsidR="00DF0331" w:rsidRPr="00DF0331" w:rsidRDefault="00DF0331" w:rsidP="00DF0331">
      <w:pPr>
        <w:widowControl/>
        <w:numPr>
          <w:ilvl w:val="1"/>
          <w:numId w:val="2"/>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Authorized either to assist in patient self-administration of the agent or to administer the agent under A.C.C. R9-25 Article 5.</w:t>
      </w:r>
    </w:p>
    <w:p w:rsidR="00DF0331" w:rsidRPr="00DF0331" w:rsidRDefault="00DF0331" w:rsidP="00DF0331">
      <w:pPr>
        <w:widowControl/>
        <w:numPr>
          <w:ilvl w:val="1"/>
          <w:numId w:val="2"/>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The agent is supplied by the patient.</w:t>
      </w:r>
    </w:p>
    <w:p w:rsidR="00DF0331" w:rsidRPr="00DF0331" w:rsidRDefault="00DF0331" w:rsidP="00DF0331">
      <w:pPr>
        <w:widowControl/>
        <w:numPr>
          <w:ilvl w:val="1"/>
          <w:numId w:val="2"/>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The patient or, if the patient is a minor or incapacitated adult, the patient’s health care decision-maker indicates that the agent is currently prescribed for the patient’s symptoms.</w:t>
      </w:r>
    </w:p>
    <w:p w:rsidR="00DF0331" w:rsidRPr="00DF0331" w:rsidRDefault="00DF0331" w:rsidP="00DF0331">
      <w:pPr>
        <w:widowControl/>
        <w:numPr>
          <w:ilvl w:val="1"/>
          <w:numId w:val="2"/>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The agent is in its original container and not expired.</w:t>
      </w:r>
    </w:p>
    <w:p w:rsidR="00DF0331" w:rsidRPr="00DF0331" w:rsidRDefault="00DF0331" w:rsidP="00DF0331">
      <w:pPr>
        <w:spacing w:after="120"/>
        <w:rPr>
          <w:rFonts w:ascii="Arial" w:hAnsi="Arial" w:cs="Arial"/>
          <w:szCs w:val="20"/>
          <w:u w:val="single"/>
        </w:rPr>
      </w:pPr>
      <w:r w:rsidRPr="00DF0331">
        <w:rPr>
          <w:rFonts w:ascii="Arial" w:hAnsi="Arial" w:cs="Arial"/>
          <w:szCs w:val="20"/>
          <w:u w:val="single"/>
        </w:rPr>
        <w:t>CONTROL OF PRE-HOSPITAL AGENTS</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EMS Agency will obtain agents authorized by the Administrative Medical Director only from a person authorized by law to prescribe the agent or with a current and valid permit, issued by the Arizona State Board of Pharmacy, authorizing the person to operate a drug wholesaler or pharmacy.</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Transfer of agents between EMS Agencies under Flagstaff Medical Center ALS Base Hospital Administrative Medical Direction or supplied by Base Hospital Pharmacy will be documented as follows:</w:t>
      </w:r>
    </w:p>
    <w:p w:rsidR="00DF0331" w:rsidRPr="00DF0331" w:rsidRDefault="00DF0331" w:rsidP="00DF0331">
      <w:pPr>
        <w:widowControl/>
        <w:numPr>
          <w:ilvl w:val="1"/>
          <w:numId w:val="3"/>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Refer to attachment Pre-Hospital Transfer of Agents Form.</w:t>
      </w:r>
    </w:p>
    <w:p w:rsidR="00DF0331" w:rsidRPr="00DF0331" w:rsidRDefault="00DF0331" w:rsidP="00DF0331">
      <w:pPr>
        <w:widowControl/>
        <w:numPr>
          <w:ilvl w:val="1"/>
          <w:numId w:val="3"/>
        </w:numPr>
        <w:tabs>
          <w:tab w:val="clear" w:pos="1800"/>
        </w:tabs>
        <w:autoSpaceDE/>
        <w:autoSpaceDN/>
        <w:adjustRightInd/>
        <w:spacing w:after="120"/>
        <w:ind w:left="720" w:hanging="360"/>
        <w:rPr>
          <w:rFonts w:ascii="Arial" w:hAnsi="Arial" w:cs="Arial"/>
          <w:szCs w:val="20"/>
        </w:rPr>
      </w:pPr>
      <w:r w:rsidRPr="00DF0331">
        <w:rPr>
          <w:rFonts w:ascii="Arial" w:hAnsi="Arial" w:cs="Arial"/>
          <w:szCs w:val="20"/>
        </w:rPr>
        <w:t xml:space="preserve">FMC Emergency Department may not re-supply agents. </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Waste of controlled agents must be witnessed and signed by two certified or licensed healthcare providers on a pre-hospital care report or Pre-Hospital Transfer of Agents Form.</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EMS Agency will provide the following to the pharmacy when re-supplying agents:</w:t>
      </w:r>
    </w:p>
    <w:p w:rsidR="00DF0331" w:rsidRPr="00DF0331" w:rsidRDefault="00DF0331" w:rsidP="00DF0331">
      <w:pPr>
        <w:numPr>
          <w:ilvl w:val="1"/>
          <w:numId w:val="4"/>
        </w:numPr>
        <w:tabs>
          <w:tab w:val="clear" w:pos="1800"/>
        </w:tabs>
        <w:spacing w:after="120"/>
        <w:ind w:left="720" w:hanging="360"/>
        <w:rPr>
          <w:rFonts w:ascii="Arial" w:hAnsi="Arial" w:cs="Arial"/>
          <w:szCs w:val="20"/>
        </w:rPr>
      </w:pPr>
      <w:r w:rsidRPr="00DF0331">
        <w:rPr>
          <w:rFonts w:ascii="Arial" w:hAnsi="Arial" w:cs="Arial"/>
          <w:szCs w:val="20"/>
        </w:rPr>
        <w:t>Copy of patient care report.</w:t>
      </w:r>
    </w:p>
    <w:p w:rsidR="00DF0331" w:rsidRPr="00DF0331" w:rsidRDefault="00DF0331" w:rsidP="00DF0331">
      <w:pPr>
        <w:numPr>
          <w:ilvl w:val="1"/>
          <w:numId w:val="4"/>
        </w:numPr>
        <w:tabs>
          <w:tab w:val="clear" w:pos="1800"/>
        </w:tabs>
        <w:spacing w:after="120"/>
        <w:ind w:left="720" w:hanging="360"/>
        <w:rPr>
          <w:rFonts w:ascii="Arial" w:hAnsi="Arial" w:cs="Arial"/>
          <w:szCs w:val="20"/>
        </w:rPr>
      </w:pPr>
      <w:r w:rsidRPr="00DF0331">
        <w:rPr>
          <w:rFonts w:ascii="Arial" w:hAnsi="Arial" w:cs="Arial"/>
          <w:szCs w:val="20"/>
        </w:rPr>
        <w:t>NCR copy of “Emergency Department Telemetry Record”, signed by the Emergency Department physician, if a controlled substance was ordered by that physician.</w:t>
      </w:r>
    </w:p>
    <w:p w:rsidR="00DF0331" w:rsidRPr="00DF0331" w:rsidRDefault="00DF0331" w:rsidP="00DF0331">
      <w:pPr>
        <w:numPr>
          <w:ilvl w:val="1"/>
          <w:numId w:val="4"/>
        </w:numPr>
        <w:tabs>
          <w:tab w:val="clear" w:pos="1800"/>
        </w:tabs>
        <w:spacing w:after="120"/>
        <w:ind w:left="720" w:hanging="360"/>
        <w:rPr>
          <w:rFonts w:ascii="Arial" w:hAnsi="Arial" w:cs="Arial"/>
          <w:szCs w:val="20"/>
        </w:rPr>
      </w:pPr>
      <w:r w:rsidRPr="00DF0331">
        <w:rPr>
          <w:rFonts w:ascii="Arial" w:hAnsi="Arial" w:cs="Arial"/>
          <w:szCs w:val="20"/>
        </w:rPr>
        <w:t>Copy of “EMS Medications Box Replacement Form”.</w:t>
      </w:r>
    </w:p>
    <w:p w:rsidR="00DF0331" w:rsidRPr="00DF0331" w:rsidRDefault="00DF0331" w:rsidP="00DF0331">
      <w:pPr>
        <w:numPr>
          <w:ilvl w:val="1"/>
          <w:numId w:val="4"/>
        </w:numPr>
        <w:tabs>
          <w:tab w:val="clear" w:pos="1800"/>
        </w:tabs>
        <w:spacing w:after="120"/>
        <w:ind w:left="720" w:hanging="360"/>
        <w:rPr>
          <w:rFonts w:ascii="Arial" w:hAnsi="Arial" w:cs="Arial"/>
          <w:szCs w:val="20"/>
        </w:rPr>
      </w:pPr>
      <w:r w:rsidRPr="00DF0331">
        <w:rPr>
          <w:rFonts w:ascii="Arial" w:hAnsi="Arial" w:cs="Arial"/>
          <w:szCs w:val="20"/>
        </w:rPr>
        <w:t>Copy of “Pre-Hospital Transfer of Agents Form” if an agent is transferred in the field.</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EMS Agency will establish, implement, and comply with a written standard operating procedure, applicable to each EMCT for whom the ALS Base Hospital supplies agents or provides administrative medical direction, that requires:</w:t>
      </w:r>
    </w:p>
    <w:p w:rsidR="00DF0331" w:rsidRPr="00DF0331" w:rsidRDefault="00DF0331" w:rsidP="00DF0331">
      <w:pPr>
        <w:numPr>
          <w:ilvl w:val="2"/>
          <w:numId w:val="4"/>
        </w:numPr>
        <w:tabs>
          <w:tab w:val="clear" w:pos="2700"/>
        </w:tabs>
        <w:spacing w:after="120"/>
        <w:ind w:left="720" w:hanging="360"/>
        <w:rPr>
          <w:rFonts w:ascii="Arial" w:hAnsi="Arial" w:cs="Arial"/>
          <w:szCs w:val="20"/>
        </w:rPr>
      </w:pPr>
      <w:r w:rsidRPr="00DF0331">
        <w:rPr>
          <w:rFonts w:ascii="Arial" w:hAnsi="Arial" w:cs="Arial"/>
          <w:szCs w:val="20"/>
        </w:rPr>
        <w:lastRenderedPageBreak/>
        <w:t>A written chain of custody for each supply of agents, including at least the following:</w:t>
      </w:r>
    </w:p>
    <w:p w:rsidR="00DF0331" w:rsidRPr="00DF0331" w:rsidRDefault="00DF0331" w:rsidP="00DF0331">
      <w:pPr>
        <w:widowControl/>
        <w:numPr>
          <w:ilvl w:val="2"/>
          <w:numId w:val="3"/>
        </w:numPr>
        <w:tabs>
          <w:tab w:val="clear" w:pos="2700"/>
        </w:tabs>
        <w:autoSpaceDE/>
        <w:autoSpaceDN/>
        <w:adjustRightInd/>
        <w:spacing w:after="120"/>
        <w:ind w:left="1080" w:hanging="360"/>
        <w:rPr>
          <w:rFonts w:ascii="Arial" w:hAnsi="Arial" w:cs="Arial"/>
          <w:szCs w:val="20"/>
        </w:rPr>
      </w:pPr>
      <w:r w:rsidRPr="00DF0331">
        <w:rPr>
          <w:rFonts w:ascii="Arial" w:hAnsi="Arial" w:cs="Arial"/>
          <w:szCs w:val="20"/>
        </w:rPr>
        <w:t>The name, EMCT certification number, or employee identification number of each individual who takes custody of the supply of agents; and</w:t>
      </w:r>
    </w:p>
    <w:p w:rsidR="00DF0331" w:rsidRPr="00DF0331" w:rsidRDefault="00DF0331" w:rsidP="00DF0331">
      <w:pPr>
        <w:widowControl/>
        <w:numPr>
          <w:ilvl w:val="2"/>
          <w:numId w:val="3"/>
        </w:numPr>
        <w:tabs>
          <w:tab w:val="clear" w:pos="2700"/>
        </w:tabs>
        <w:autoSpaceDE/>
        <w:autoSpaceDN/>
        <w:adjustRightInd/>
        <w:spacing w:after="120"/>
        <w:ind w:left="1080" w:hanging="360"/>
        <w:rPr>
          <w:rFonts w:ascii="Arial" w:hAnsi="Arial" w:cs="Arial"/>
          <w:szCs w:val="20"/>
        </w:rPr>
      </w:pPr>
      <w:r w:rsidRPr="00DF0331">
        <w:rPr>
          <w:rFonts w:ascii="Arial" w:hAnsi="Arial" w:cs="Arial"/>
          <w:szCs w:val="20"/>
        </w:rPr>
        <w:t>The time and date that each individual takes custody of the supply of agents.</w:t>
      </w:r>
    </w:p>
    <w:p w:rsidR="00DF0331" w:rsidRPr="00DF0331" w:rsidRDefault="00DF0331" w:rsidP="00DF0331">
      <w:pPr>
        <w:widowControl/>
        <w:numPr>
          <w:ilvl w:val="2"/>
          <w:numId w:val="4"/>
        </w:numPr>
        <w:tabs>
          <w:tab w:val="clear" w:pos="2700"/>
        </w:tabs>
        <w:autoSpaceDE/>
        <w:autoSpaceDN/>
        <w:adjustRightInd/>
        <w:spacing w:after="120"/>
        <w:ind w:left="720" w:hanging="360"/>
        <w:rPr>
          <w:rFonts w:ascii="Arial" w:hAnsi="Arial" w:cs="Arial"/>
          <w:szCs w:val="20"/>
        </w:rPr>
      </w:pPr>
      <w:r w:rsidRPr="00DF0331">
        <w:rPr>
          <w:rFonts w:ascii="Arial" w:hAnsi="Arial" w:cs="Arial"/>
          <w:szCs w:val="20"/>
        </w:rPr>
        <w:t>Each individual who takes custody of a supply of agents to do the following:</w:t>
      </w:r>
    </w:p>
    <w:p w:rsidR="00DF0331" w:rsidRPr="00DF0331" w:rsidRDefault="00DF0331" w:rsidP="00DF0331">
      <w:pPr>
        <w:widowControl/>
        <w:numPr>
          <w:ilvl w:val="0"/>
          <w:numId w:val="5"/>
        </w:numPr>
        <w:tabs>
          <w:tab w:val="clear" w:pos="2700"/>
        </w:tabs>
        <w:autoSpaceDE/>
        <w:autoSpaceDN/>
        <w:adjustRightInd/>
        <w:spacing w:after="120"/>
        <w:ind w:left="1080" w:hanging="360"/>
        <w:rPr>
          <w:rFonts w:ascii="Arial" w:hAnsi="Arial" w:cs="Arial"/>
          <w:szCs w:val="20"/>
        </w:rPr>
      </w:pPr>
      <w:r w:rsidRPr="00DF0331">
        <w:rPr>
          <w:rFonts w:ascii="Arial" w:hAnsi="Arial" w:cs="Arial"/>
          <w:szCs w:val="20"/>
        </w:rPr>
        <w:t>Upon initially taking custody of the supply of agents, inspect the supply of agents for expired, deteriorated, damaged or altered containers or labels, or depleted or missing agents;</w:t>
      </w:r>
    </w:p>
    <w:p w:rsidR="00DF0331" w:rsidRPr="00DF0331" w:rsidRDefault="00DF0331" w:rsidP="00DF0331">
      <w:pPr>
        <w:widowControl/>
        <w:numPr>
          <w:ilvl w:val="0"/>
          <w:numId w:val="5"/>
        </w:numPr>
        <w:tabs>
          <w:tab w:val="clear" w:pos="2700"/>
        </w:tabs>
        <w:autoSpaceDE/>
        <w:autoSpaceDN/>
        <w:adjustRightInd/>
        <w:spacing w:after="120"/>
        <w:ind w:left="1080" w:hanging="360"/>
        <w:rPr>
          <w:rFonts w:ascii="Arial" w:hAnsi="Arial" w:cs="Arial"/>
          <w:szCs w:val="20"/>
        </w:rPr>
      </w:pPr>
      <w:r w:rsidRPr="00DF0331">
        <w:rPr>
          <w:rFonts w:ascii="Arial" w:hAnsi="Arial" w:cs="Arial"/>
          <w:szCs w:val="20"/>
        </w:rPr>
        <w:t>Upon determining that any of the conditions described in Section 5(b)(1) exists, document the condition, notify the ALS Base Hospital Pharmacist-in-charge or Administrative Medical Director if a controlled substance is depleted, visibly adulterated, or missing, and obtain a replacement for each affected agent for which the minimum supply is not present; and</w:t>
      </w:r>
    </w:p>
    <w:p w:rsidR="00DF0331" w:rsidRPr="00DF0331" w:rsidRDefault="00DF0331" w:rsidP="00DF0331">
      <w:pPr>
        <w:widowControl/>
        <w:numPr>
          <w:ilvl w:val="0"/>
          <w:numId w:val="5"/>
        </w:numPr>
        <w:tabs>
          <w:tab w:val="clear" w:pos="2700"/>
        </w:tabs>
        <w:autoSpaceDE/>
        <w:autoSpaceDN/>
        <w:adjustRightInd/>
        <w:spacing w:after="120"/>
        <w:ind w:left="1080" w:hanging="360"/>
        <w:rPr>
          <w:rFonts w:ascii="Arial" w:hAnsi="Arial" w:cs="Arial"/>
          <w:szCs w:val="20"/>
        </w:rPr>
      </w:pPr>
      <w:r w:rsidRPr="00DF0331">
        <w:rPr>
          <w:rFonts w:ascii="Arial" w:hAnsi="Arial" w:cs="Arial"/>
          <w:szCs w:val="20"/>
        </w:rPr>
        <w:t>Record each administration of an agent on a prehospital care report;</w:t>
      </w:r>
    </w:p>
    <w:p w:rsidR="00DF0331" w:rsidRPr="00DF0331" w:rsidRDefault="00DF0331" w:rsidP="00DF0331">
      <w:pPr>
        <w:widowControl/>
        <w:numPr>
          <w:ilvl w:val="2"/>
          <w:numId w:val="4"/>
        </w:numPr>
        <w:tabs>
          <w:tab w:val="clear" w:pos="2700"/>
        </w:tabs>
        <w:autoSpaceDE/>
        <w:autoSpaceDN/>
        <w:adjustRightInd/>
        <w:spacing w:after="120"/>
        <w:ind w:left="720" w:hanging="360"/>
        <w:rPr>
          <w:rFonts w:ascii="Arial" w:hAnsi="Arial" w:cs="Arial"/>
          <w:szCs w:val="20"/>
        </w:rPr>
      </w:pPr>
      <w:r w:rsidRPr="00DF0331">
        <w:rPr>
          <w:rFonts w:ascii="Arial" w:hAnsi="Arial" w:cs="Arial"/>
          <w:szCs w:val="20"/>
        </w:rPr>
        <w:t>Each EMCT on duty for the EMS Agency to have access to at least the minimum supply of agents required for the highest level of service to be provided by the EMCT.</w:t>
      </w:r>
    </w:p>
    <w:p w:rsidR="00DF0331" w:rsidRPr="00DF0331" w:rsidRDefault="00DF0331" w:rsidP="00DF0331">
      <w:pPr>
        <w:widowControl/>
        <w:numPr>
          <w:ilvl w:val="2"/>
          <w:numId w:val="4"/>
        </w:numPr>
        <w:tabs>
          <w:tab w:val="clear" w:pos="2700"/>
        </w:tabs>
        <w:autoSpaceDE/>
        <w:autoSpaceDN/>
        <w:adjustRightInd/>
        <w:spacing w:after="120"/>
        <w:ind w:left="720" w:hanging="360"/>
        <w:rPr>
          <w:rFonts w:ascii="Arial" w:hAnsi="Arial" w:cs="Arial"/>
          <w:szCs w:val="20"/>
        </w:rPr>
      </w:pPr>
      <w:r w:rsidRPr="00DF0331">
        <w:rPr>
          <w:rFonts w:ascii="Arial" w:hAnsi="Arial" w:cs="Arial"/>
          <w:szCs w:val="20"/>
        </w:rPr>
        <w:t xml:space="preserve">Mechanisms for controlling inventory of agents and preventing diversion of controlled substances; and </w:t>
      </w:r>
    </w:p>
    <w:p w:rsidR="00DF0331" w:rsidRPr="00DF0331" w:rsidRDefault="00DF0331" w:rsidP="00DF0331">
      <w:pPr>
        <w:widowControl/>
        <w:numPr>
          <w:ilvl w:val="2"/>
          <w:numId w:val="4"/>
        </w:numPr>
        <w:tabs>
          <w:tab w:val="clear" w:pos="2700"/>
        </w:tabs>
        <w:autoSpaceDE/>
        <w:autoSpaceDN/>
        <w:adjustRightInd/>
        <w:spacing w:after="120"/>
        <w:ind w:left="720" w:hanging="360"/>
        <w:rPr>
          <w:rFonts w:ascii="Arial" w:hAnsi="Arial" w:cs="Arial"/>
          <w:szCs w:val="20"/>
        </w:rPr>
      </w:pPr>
      <w:r w:rsidRPr="00DF0331">
        <w:rPr>
          <w:rFonts w:ascii="Arial" w:hAnsi="Arial" w:cs="Arial"/>
          <w:szCs w:val="20"/>
        </w:rPr>
        <w:t>Includes that an agent is kept inaccessible to all individuals who are not authorized access to the agent by policies and procedures required under Section 5 and, when not being administered, is:</w:t>
      </w:r>
    </w:p>
    <w:p w:rsidR="00DF0331" w:rsidRPr="00DF0331" w:rsidRDefault="00DF0331" w:rsidP="00DF0331">
      <w:pPr>
        <w:spacing w:after="120"/>
        <w:ind w:left="1080" w:hanging="360"/>
        <w:rPr>
          <w:rFonts w:ascii="Arial" w:hAnsi="Arial" w:cs="Arial"/>
          <w:szCs w:val="20"/>
        </w:rPr>
      </w:pPr>
      <w:r w:rsidRPr="00DF0331">
        <w:rPr>
          <w:rFonts w:ascii="Arial" w:hAnsi="Arial" w:cs="Arial"/>
          <w:szCs w:val="20"/>
        </w:rPr>
        <w:t xml:space="preserve">1)   Secured in a dry, clean, washable receptacle; </w:t>
      </w:r>
    </w:p>
    <w:p w:rsidR="00DF0331" w:rsidRPr="00DF0331" w:rsidRDefault="00DF0331" w:rsidP="00DF0331">
      <w:pPr>
        <w:spacing w:after="120"/>
        <w:ind w:left="1080" w:hanging="360"/>
        <w:rPr>
          <w:rFonts w:ascii="Arial" w:hAnsi="Arial" w:cs="Arial"/>
          <w:szCs w:val="20"/>
        </w:rPr>
      </w:pPr>
      <w:r w:rsidRPr="00DF0331">
        <w:rPr>
          <w:rFonts w:ascii="Arial" w:hAnsi="Arial" w:cs="Arial"/>
          <w:szCs w:val="20"/>
        </w:rPr>
        <w:t xml:space="preserve">2)   While on a motor vehicle or aircraft registered to the emergency medical services provider or ambulance service, secured in a manner that restricts movement of the agent and the receptacle </w:t>
      </w:r>
    </w:p>
    <w:p w:rsidR="00DF0331" w:rsidRPr="00DF0331" w:rsidRDefault="00DF0331" w:rsidP="00DF0331">
      <w:pPr>
        <w:spacing w:after="120"/>
        <w:ind w:left="1080" w:hanging="360"/>
        <w:rPr>
          <w:rFonts w:ascii="Arial" w:hAnsi="Arial" w:cs="Arial"/>
          <w:szCs w:val="20"/>
        </w:rPr>
      </w:pPr>
      <w:r w:rsidRPr="00DF0331">
        <w:rPr>
          <w:rFonts w:ascii="Arial" w:hAnsi="Arial" w:cs="Arial"/>
          <w:szCs w:val="20"/>
        </w:rPr>
        <w:t>3)</w:t>
      </w:r>
      <w:r w:rsidRPr="00DF0331">
        <w:rPr>
          <w:rFonts w:ascii="Arial" w:hAnsi="Arial" w:cs="Arial"/>
          <w:szCs w:val="20"/>
        </w:rPr>
        <w:tab/>
        <w:t>If a controlled substance, locked in a hard-shelled container that meets requirements in Section 5 (e)(1)that is difficult to breach without the use of a power cutting tool and</w:t>
      </w:r>
    </w:p>
    <w:p w:rsidR="00DF0331" w:rsidRPr="00DF0331" w:rsidRDefault="00DF0331" w:rsidP="00DF0331">
      <w:pPr>
        <w:spacing w:after="120"/>
        <w:ind w:left="1440" w:hanging="360"/>
        <w:rPr>
          <w:rFonts w:ascii="Arial" w:hAnsi="Arial" w:cs="Arial"/>
          <w:szCs w:val="20"/>
        </w:rPr>
      </w:pPr>
      <w:r w:rsidRPr="00DF0331">
        <w:rPr>
          <w:rFonts w:ascii="Arial" w:hAnsi="Arial" w:cs="Arial"/>
          <w:szCs w:val="20"/>
        </w:rPr>
        <w:t>i.</w:t>
      </w:r>
      <w:r w:rsidRPr="00DF0331">
        <w:rPr>
          <w:rFonts w:ascii="Arial" w:hAnsi="Arial" w:cs="Arial"/>
          <w:szCs w:val="20"/>
        </w:rPr>
        <w:tab/>
        <w:t>Locked inside a motor vehicle or aircraft registered to the emergency medical services provider or ambulance service</w:t>
      </w:r>
    </w:p>
    <w:p w:rsidR="00DF0331" w:rsidRPr="00DF0331" w:rsidRDefault="00DF0331" w:rsidP="00DF0331">
      <w:pPr>
        <w:spacing w:after="120"/>
        <w:ind w:left="1440" w:hanging="360"/>
        <w:rPr>
          <w:rFonts w:ascii="Arial" w:hAnsi="Arial" w:cs="Arial"/>
          <w:szCs w:val="20"/>
        </w:rPr>
      </w:pPr>
      <w:r w:rsidRPr="00DF0331">
        <w:rPr>
          <w:rFonts w:ascii="Arial" w:hAnsi="Arial" w:cs="Arial"/>
          <w:szCs w:val="20"/>
        </w:rPr>
        <w:t>ii.</w:t>
      </w:r>
      <w:r w:rsidRPr="00DF0331">
        <w:rPr>
          <w:rFonts w:ascii="Arial" w:hAnsi="Arial" w:cs="Arial"/>
          <w:szCs w:val="20"/>
        </w:rPr>
        <w:tab/>
        <w:t>Otherwise locked and secured in such a manner as to deter misappropriation, or</w:t>
      </w:r>
    </w:p>
    <w:p w:rsidR="00DF0331" w:rsidRPr="00DF0331" w:rsidRDefault="00DF0331" w:rsidP="00DF0331">
      <w:pPr>
        <w:spacing w:after="120"/>
        <w:ind w:left="1440" w:hanging="360"/>
        <w:rPr>
          <w:rFonts w:ascii="Arial" w:hAnsi="Arial" w:cs="Arial"/>
          <w:szCs w:val="20"/>
        </w:rPr>
      </w:pPr>
      <w:r w:rsidRPr="00DF0331">
        <w:rPr>
          <w:rFonts w:ascii="Arial" w:hAnsi="Arial" w:cs="Arial"/>
          <w:szCs w:val="20"/>
        </w:rPr>
        <w:t>iii.</w:t>
      </w:r>
      <w:r w:rsidRPr="00DF0331">
        <w:rPr>
          <w:rFonts w:ascii="Arial" w:hAnsi="Arial" w:cs="Arial"/>
          <w:szCs w:val="20"/>
        </w:rPr>
        <w:tab/>
        <w:t>on the person of an EMCT authorized access to the agent</w:t>
      </w:r>
    </w:p>
    <w:p w:rsidR="00DF0331" w:rsidRPr="00DF0331" w:rsidRDefault="00DF0331" w:rsidP="00DF0331">
      <w:pPr>
        <w:widowControl/>
        <w:numPr>
          <w:ilvl w:val="2"/>
          <w:numId w:val="4"/>
        </w:numPr>
        <w:tabs>
          <w:tab w:val="clear" w:pos="2700"/>
        </w:tabs>
        <w:autoSpaceDE/>
        <w:autoSpaceDN/>
        <w:adjustRightInd/>
        <w:spacing w:after="120"/>
        <w:ind w:left="720" w:hanging="360"/>
        <w:rPr>
          <w:rFonts w:ascii="Arial" w:hAnsi="Arial" w:cs="Arial"/>
          <w:szCs w:val="20"/>
        </w:rPr>
      </w:pPr>
      <w:r w:rsidRPr="00DF0331">
        <w:rPr>
          <w:rFonts w:ascii="Arial" w:hAnsi="Arial" w:cs="Arial"/>
          <w:szCs w:val="20"/>
        </w:rPr>
        <w:t>That each agent to which an EMCT has access while on duty for the EMS Agency is kept inaccessible to unauthorized individuals at all times.</w:t>
      </w:r>
    </w:p>
    <w:p w:rsidR="00DF0331" w:rsidRPr="00DF0331" w:rsidRDefault="00DF0331" w:rsidP="00DF0331">
      <w:pPr>
        <w:widowControl/>
        <w:numPr>
          <w:ilvl w:val="0"/>
          <w:numId w:val="4"/>
        </w:numPr>
        <w:tabs>
          <w:tab w:val="clear" w:pos="720"/>
        </w:tabs>
        <w:autoSpaceDE/>
        <w:autoSpaceDN/>
        <w:adjustRightInd/>
        <w:spacing w:after="120"/>
        <w:ind w:left="360" w:hanging="360"/>
        <w:rPr>
          <w:rFonts w:ascii="Arial" w:hAnsi="Arial" w:cs="Arial"/>
          <w:szCs w:val="20"/>
        </w:rPr>
      </w:pPr>
      <w:r w:rsidRPr="00DF0331">
        <w:rPr>
          <w:rFonts w:ascii="Arial" w:hAnsi="Arial" w:cs="Arial"/>
          <w:szCs w:val="20"/>
        </w:rPr>
        <w:t>EMS Agency will provide, for each EMCT under administrative medical direction, access to copies of the EMS Agencies written standard operating procedure required under Section 5.</w:t>
      </w:r>
    </w:p>
    <w:p w:rsidR="00DF0331" w:rsidRPr="00DF0331" w:rsidRDefault="00DF0331" w:rsidP="00DF0331">
      <w:pPr>
        <w:widowControl/>
        <w:numPr>
          <w:ilvl w:val="0"/>
          <w:numId w:val="4"/>
        </w:numPr>
        <w:tabs>
          <w:tab w:val="clear" w:pos="720"/>
          <w:tab w:val="num" w:pos="1440"/>
        </w:tabs>
        <w:autoSpaceDE/>
        <w:autoSpaceDN/>
        <w:adjustRightInd/>
        <w:spacing w:after="120"/>
        <w:ind w:left="360" w:hanging="360"/>
        <w:rPr>
          <w:rFonts w:ascii="Arial" w:hAnsi="Arial" w:cs="Arial"/>
          <w:szCs w:val="20"/>
        </w:rPr>
      </w:pPr>
      <w:r w:rsidRPr="00DF0331">
        <w:rPr>
          <w:rFonts w:ascii="Arial" w:hAnsi="Arial" w:cs="Arial"/>
          <w:szCs w:val="20"/>
        </w:rPr>
        <w:t>The Administrative Medical Director or Base Hospital Pharmacist-in-charge will notify in writing the Department of Health Services Bureau of EMS and Trauma Systems within 10 days after receiving notification from an EMS Agency of any quantity of a controlled substance that is depleted, visibly adulterated, or missing.</w:t>
      </w:r>
    </w:p>
    <w:p w:rsidR="00DF0331" w:rsidRPr="00DF0331" w:rsidRDefault="00DF0331" w:rsidP="00DF0331">
      <w:pPr>
        <w:widowControl/>
        <w:numPr>
          <w:ilvl w:val="0"/>
          <w:numId w:val="4"/>
        </w:numPr>
        <w:tabs>
          <w:tab w:val="clear" w:pos="720"/>
          <w:tab w:val="num" w:pos="1440"/>
        </w:tabs>
        <w:autoSpaceDE/>
        <w:autoSpaceDN/>
        <w:adjustRightInd/>
        <w:spacing w:after="120"/>
        <w:ind w:left="360" w:hanging="360"/>
        <w:rPr>
          <w:rFonts w:ascii="Arial" w:hAnsi="Arial" w:cs="Arial"/>
          <w:szCs w:val="20"/>
        </w:rPr>
      </w:pPr>
      <w:r w:rsidRPr="00DF0331">
        <w:rPr>
          <w:rFonts w:ascii="Arial" w:hAnsi="Arial" w:cs="Arial"/>
          <w:szCs w:val="20"/>
        </w:rPr>
        <w:t>The Administrative Medical Director and Base Hospital Pharmacist-in-charge will comply with all Arizona State Board of Pharmacy and U.S. Drug Enforcement Administration requirements related to the control of agents.</w:t>
      </w:r>
    </w:p>
    <w:p w:rsidR="00DF0331" w:rsidRPr="00DF0331" w:rsidRDefault="00DF0331" w:rsidP="00DF0331">
      <w:pPr>
        <w:spacing w:after="120"/>
        <w:rPr>
          <w:rFonts w:ascii="Arial" w:hAnsi="Arial" w:cs="Arial"/>
          <w:szCs w:val="20"/>
          <w:u w:val="single"/>
        </w:rPr>
      </w:pPr>
      <w:r w:rsidRPr="00DF0331">
        <w:rPr>
          <w:rFonts w:ascii="Arial" w:hAnsi="Arial" w:cs="Arial"/>
          <w:szCs w:val="20"/>
          <w:u w:val="single"/>
        </w:rPr>
        <w:t>EXPIRING MEDICATION REPLACEMENT- FLAGSTAFF MEDICAL CENTER ONLY</w:t>
      </w:r>
    </w:p>
    <w:p w:rsidR="00DF0331" w:rsidRPr="00DF0331" w:rsidRDefault="00DF0331" w:rsidP="00DF0331">
      <w:pPr>
        <w:numPr>
          <w:ilvl w:val="0"/>
          <w:numId w:val="6"/>
        </w:numPr>
        <w:tabs>
          <w:tab w:val="clear" w:pos="1440"/>
        </w:tabs>
        <w:spacing w:after="120"/>
        <w:ind w:left="360" w:hanging="360"/>
        <w:rPr>
          <w:rFonts w:ascii="Arial" w:hAnsi="Arial" w:cs="Arial"/>
          <w:szCs w:val="20"/>
        </w:rPr>
      </w:pPr>
      <w:r w:rsidRPr="00DF0331">
        <w:rPr>
          <w:rFonts w:ascii="Arial" w:hAnsi="Arial" w:cs="Arial"/>
          <w:szCs w:val="20"/>
        </w:rPr>
        <w:t>Medications will be replaced within 30 days prior to the expiration date.</w:t>
      </w:r>
    </w:p>
    <w:p w:rsidR="00DF0331" w:rsidRPr="00DF0331" w:rsidRDefault="00DF0331" w:rsidP="00DF0331">
      <w:pPr>
        <w:numPr>
          <w:ilvl w:val="0"/>
          <w:numId w:val="6"/>
        </w:numPr>
        <w:tabs>
          <w:tab w:val="clear" w:pos="1440"/>
        </w:tabs>
        <w:spacing w:after="120"/>
        <w:ind w:left="360" w:hanging="360"/>
        <w:rPr>
          <w:rFonts w:ascii="Arial" w:hAnsi="Arial" w:cs="Arial"/>
          <w:szCs w:val="20"/>
        </w:rPr>
      </w:pPr>
      <w:r w:rsidRPr="00DF0331">
        <w:rPr>
          <w:rFonts w:ascii="Arial" w:hAnsi="Arial" w:cs="Arial"/>
          <w:szCs w:val="20"/>
        </w:rPr>
        <w:t>EMS Agency will be assigned to either the first week of each month or the last week of each month to replace expiring medications at Flagstaff Medical Center Base Hospital Pharmacy.</w:t>
      </w:r>
    </w:p>
    <w:p w:rsidR="00DF0331" w:rsidRPr="00DF0331" w:rsidRDefault="00DF0331" w:rsidP="00DF0331">
      <w:pPr>
        <w:numPr>
          <w:ilvl w:val="0"/>
          <w:numId w:val="6"/>
        </w:numPr>
        <w:tabs>
          <w:tab w:val="clear" w:pos="1440"/>
        </w:tabs>
        <w:spacing w:after="120"/>
        <w:ind w:left="360" w:hanging="360"/>
        <w:rPr>
          <w:rFonts w:ascii="Arial" w:hAnsi="Arial" w:cs="Arial"/>
          <w:szCs w:val="20"/>
        </w:rPr>
      </w:pPr>
      <w:r w:rsidRPr="00DF0331">
        <w:rPr>
          <w:rFonts w:ascii="Arial" w:hAnsi="Arial" w:cs="Arial"/>
          <w:szCs w:val="20"/>
        </w:rPr>
        <w:t>EMS Agency will fax to FMC Pharmacy an “EMS Medication Box Replacement Form” for each box with expiring medications needing replacement on the Monday of their assigned week.  A fax face sheet with a contact person name and phone number should be sent with the forms.</w:t>
      </w:r>
    </w:p>
    <w:p w:rsidR="00DF0331" w:rsidRPr="00DF0331" w:rsidRDefault="00DF0331" w:rsidP="00DF0331">
      <w:pPr>
        <w:numPr>
          <w:ilvl w:val="0"/>
          <w:numId w:val="6"/>
        </w:numPr>
        <w:tabs>
          <w:tab w:val="clear" w:pos="1440"/>
        </w:tabs>
        <w:spacing w:after="120"/>
        <w:ind w:left="360" w:hanging="360"/>
        <w:rPr>
          <w:rFonts w:ascii="Arial" w:hAnsi="Arial" w:cs="Arial"/>
          <w:szCs w:val="20"/>
        </w:rPr>
      </w:pPr>
      <w:r w:rsidRPr="00DF0331">
        <w:rPr>
          <w:rFonts w:ascii="Arial" w:hAnsi="Arial" w:cs="Arial"/>
          <w:szCs w:val="20"/>
        </w:rPr>
        <w:t>Medications will be available for pick up on Wednesday of the assigned week.</w:t>
      </w:r>
    </w:p>
    <w:p w:rsidR="00DF0331" w:rsidRPr="00DF0331" w:rsidRDefault="00DF0331" w:rsidP="00DF0331">
      <w:pPr>
        <w:numPr>
          <w:ilvl w:val="0"/>
          <w:numId w:val="6"/>
        </w:numPr>
        <w:tabs>
          <w:tab w:val="clear" w:pos="1440"/>
        </w:tabs>
        <w:spacing w:after="120"/>
        <w:ind w:left="360" w:hanging="360"/>
        <w:rPr>
          <w:rFonts w:ascii="Arial" w:hAnsi="Arial" w:cs="Arial"/>
          <w:szCs w:val="20"/>
        </w:rPr>
      </w:pPr>
      <w:r w:rsidRPr="00DF0331">
        <w:rPr>
          <w:rFonts w:ascii="Arial" w:hAnsi="Arial" w:cs="Arial"/>
          <w:szCs w:val="20"/>
        </w:rPr>
        <w:t>Flagstaff Medical Center Pharmacy will notify agency if it is unable to have medications available on Wednesday.</w:t>
      </w:r>
    </w:p>
    <w:p w:rsidR="00DF0331" w:rsidRPr="009D0D92" w:rsidRDefault="00DF0331" w:rsidP="00DF0331">
      <w:pPr>
        <w:ind w:left="720"/>
        <w:rPr>
          <w:rFonts w:ascii="Arial" w:hAnsi="Arial" w:cs="Arial"/>
        </w:rPr>
      </w:pPr>
    </w:p>
    <w:p w:rsidR="00DF0331" w:rsidRPr="009D0D92" w:rsidRDefault="00DF0331" w:rsidP="00DF0331">
      <w:pPr>
        <w:tabs>
          <w:tab w:val="left" w:pos="720"/>
        </w:tabs>
        <w:ind w:left="1440" w:hanging="720"/>
        <w:rPr>
          <w:rFonts w:ascii="Arial" w:hAnsi="Arial" w:cs="Arial"/>
        </w:rPr>
      </w:pPr>
    </w:p>
    <w:p w:rsidR="00DF0331" w:rsidRPr="00DF0331" w:rsidRDefault="00DF0331" w:rsidP="00DF0331">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18"/>
        </w:rPr>
      </w:pPr>
      <w:r w:rsidRPr="009D0D92">
        <w:rPr>
          <w:rFonts w:ascii="Arial" w:hAnsi="Arial" w:cs="Arial"/>
          <w:u w:val="single"/>
        </w:rPr>
        <w:t>RELATED DOCUMENTS</w:t>
      </w:r>
      <w:r w:rsidRPr="009D0D92">
        <w:rPr>
          <w:rFonts w:ascii="Arial" w:hAnsi="Arial" w:cs="Arial"/>
        </w:rPr>
        <w:tab/>
      </w:r>
      <w:r w:rsidRPr="00DF0331">
        <w:rPr>
          <w:rFonts w:ascii="Arial" w:hAnsi="Arial" w:cs="Arial"/>
          <w:szCs w:val="22"/>
        </w:rPr>
        <w:t>Pre-Hospital Transfer of Agents Form</w:t>
      </w:r>
      <w:r w:rsidRPr="00DF0331">
        <w:rPr>
          <w:rFonts w:ascii="Arial" w:hAnsi="Arial" w:cs="Arial"/>
          <w:sz w:val="18"/>
        </w:rPr>
        <w:t xml:space="preserve"> </w:t>
      </w:r>
    </w:p>
    <w:p w:rsidR="00DF0331" w:rsidRDefault="00DF0331" w:rsidP="00DF0331">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rPr>
      </w:pPr>
    </w:p>
    <w:p w:rsidR="00DF0331" w:rsidRPr="009D0D92" w:rsidRDefault="00DF0331" w:rsidP="00DF0331">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rPr>
      </w:pPr>
      <w:r w:rsidRPr="009D0D92">
        <w:rPr>
          <w:rFonts w:ascii="Arial" w:hAnsi="Arial" w:cs="Arial"/>
          <w:u w:val="single"/>
        </w:rPr>
        <w:t>REFERENCES</w:t>
      </w:r>
      <w:r w:rsidRPr="009D0D92">
        <w:rPr>
          <w:rFonts w:ascii="Arial" w:hAnsi="Arial" w:cs="Arial"/>
        </w:rPr>
        <w:tab/>
      </w:r>
      <w:r w:rsidRPr="009D0D92">
        <w:rPr>
          <w:rFonts w:ascii="Arial" w:hAnsi="Arial" w:cs="Arial"/>
        </w:rPr>
        <w:tab/>
      </w:r>
      <w:r>
        <w:rPr>
          <w:rFonts w:ascii="Arial" w:hAnsi="Arial" w:cs="Arial"/>
        </w:rPr>
        <w:tab/>
      </w:r>
      <w:r w:rsidRPr="009D0D92">
        <w:rPr>
          <w:rFonts w:ascii="Arial" w:hAnsi="Arial" w:cs="Arial"/>
        </w:rPr>
        <w:t>N/A</w:t>
      </w:r>
    </w:p>
    <w:p w:rsidR="00DF0331" w:rsidRPr="00E22340" w:rsidRDefault="00DF0331" w:rsidP="00DF03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F0331" w:rsidRPr="007A52D0" w:rsidRDefault="00DF0331" w:rsidP="00DF0331"/>
    <w:p w:rsidR="00C054D7" w:rsidRDefault="00C054D7" w:rsidP="00F54195">
      <w:bookmarkStart w:id="0" w:name="_GoBack"/>
      <w:bookmarkEnd w:id="0"/>
    </w:p>
    <w:sectPr w:rsidR="00C054D7" w:rsidSect="0009345F">
      <w:headerReference w:type="default" r:id="rId9"/>
      <w:footerReference w:type="default" r:id="rId10"/>
      <w:footerReference w:type="first" r:id="rId11"/>
      <w:endnotePr>
        <w:numFmt w:val="decimal"/>
      </w:endnotePr>
      <w:pgSz w:w="12240" w:h="15840" w:code="1"/>
      <w:pgMar w:top="547" w:right="864" w:bottom="630" w:left="1152" w:header="274" w:footer="28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C7" w:rsidRDefault="007904C7">
      <w:r>
        <w:separator/>
      </w:r>
    </w:p>
  </w:endnote>
  <w:endnote w:type="continuationSeparator" w:id="0">
    <w:p w:rsidR="007904C7" w:rsidRDefault="007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73" w:type="dxa"/>
      <w:jc w:val="center"/>
      <w:tblLook w:val="04A0" w:firstRow="1" w:lastRow="0" w:firstColumn="1" w:lastColumn="0" w:noHBand="0" w:noVBand="1"/>
    </w:tblPr>
    <w:tblGrid>
      <w:gridCol w:w="10973"/>
    </w:tblGrid>
    <w:tr w:rsidR="005C368C" w:rsidTr="005C368C">
      <w:trPr>
        <w:jc w:val="center"/>
      </w:trPr>
      <w:tc>
        <w:tcPr>
          <w:tcW w:w="10214" w:type="dxa"/>
        </w:tcPr>
        <w:p w:rsidR="005C368C" w:rsidRPr="005C368C" w:rsidRDefault="005C368C" w:rsidP="005C368C">
          <w:pPr>
            <w:pStyle w:val="Footer"/>
            <w:rPr>
              <w:rFonts w:ascii="Arial" w:hAnsi="Arial" w:cs="Arial"/>
              <w:color w:val="000000" w:themeColor="text1"/>
            </w:rPr>
          </w:pPr>
          <w:r w:rsidRPr="005C368C">
            <w:rPr>
              <w:rFonts w:ascii="Arial" w:hAnsi="Arial" w:cs="Arial"/>
              <w:color w:val="000000" w:themeColor="text1"/>
            </w:rPr>
            <w:t xml:space="preserve">Reviewed:  </w:t>
          </w:r>
          <w:r w:rsidR="00DF0331">
            <w:rPr>
              <w:rFonts w:ascii="Arial" w:hAnsi="Arial" w:cs="Arial"/>
              <w:color w:val="000000" w:themeColor="text1"/>
            </w:rPr>
            <w:t>8/10/2011</w:t>
          </w:r>
        </w:p>
        <w:p w:rsidR="005C368C" w:rsidRPr="005C368C" w:rsidRDefault="005C368C" w:rsidP="005C368C">
          <w:pPr>
            <w:pStyle w:val="Footer"/>
            <w:rPr>
              <w:rFonts w:ascii="Arial" w:hAnsi="Arial" w:cs="Arial"/>
              <w:color w:val="000000" w:themeColor="text1"/>
            </w:rPr>
          </w:pPr>
        </w:p>
        <w:p w:rsidR="005C368C" w:rsidRPr="005C368C" w:rsidRDefault="005C368C" w:rsidP="005C368C">
          <w:pPr>
            <w:pStyle w:val="Footer"/>
            <w:rPr>
              <w:rFonts w:ascii="Arial" w:hAnsi="Arial" w:cs="Arial"/>
              <w:color w:val="000000" w:themeColor="text1"/>
            </w:rPr>
          </w:pPr>
          <w:r w:rsidRPr="005C368C">
            <w:rPr>
              <w:rFonts w:ascii="Arial" w:hAnsi="Arial" w:cs="Arial"/>
              <w:color w:val="000000" w:themeColor="text1"/>
            </w:rPr>
            <w:t xml:space="preserve">Revised:  </w:t>
          </w:r>
          <w:r w:rsidR="00DF0331">
            <w:rPr>
              <w:rFonts w:ascii="Arial" w:hAnsi="Arial" w:cs="Arial"/>
              <w:color w:val="000000" w:themeColor="text1"/>
            </w:rPr>
            <w:t>4/16/2007, 11/4/2014, 10/9/2018, 7/9/2019</w:t>
          </w:r>
        </w:p>
      </w:tc>
    </w:tr>
  </w:tbl>
  <w:p w:rsidR="00F54195" w:rsidRPr="00F54195" w:rsidRDefault="00F54195" w:rsidP="00F54195">
    <w:pPr>
      <w:pStyle w:val="Footer"/>
      <w:jc w:val="center"/>
      <w:rPr>
        <w:color w:val="FF0000"/>
        <w:sz w:val="22"/>
      </w:rPr>
    </w:pPr>
    <w:r w:rsidRPr="00F54195">
      <w:rPr>
        <w:color w:val="FF0000"/>
        <w:sz w:val="22"/>
      </w:rPr>
      <w:t>Once printed this document is no longer controlled.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73" w:type="dxa"/>
      <w:jc w:val="center"/>
      <w:tblLook w:val="04A0" w:firstRow="1" w:lastRow="0" w:firstColumn="1" w:lastColumn="0" w:noHBand="0" w:noVBand="1"/>
    </w:tblPr>
    <w:tblGrid>
      <w:gridCol w:w="10973"/>
    </w:tblGrid>
    <w:tr w:rsidR="005C368C" w:rsidTr="00230C96">
      <w:trPr>
        <w:jc w:val="center"/>
      </w:trPr>
      <w:tc>
        <w:tcPr>
          <w:tcW w:w="10214" w:type="dxa"/>
        </w:tcPr>
        <w:p w:rsidR="005C368C" w:rsidRPr="005C368C" w:rsidRDefault="005C368C" w:rsidP="005C368C">
          <w:pPr>
            <w:pStyle w:val="Footer"/>
            <w:rPr>
              <w:rFonts w:ascii="Arial" w:hAnsi="Arial" w:cs="Arial"/>
              <w:color w:val="000000" w:themeColor="text1"/>
            </w:rPr>
          </w:pPr>
          <w:r w:rsidRPr="005C368C">
            <w:rPr>
              <w:rFonts w:ascii="Arial" w:hAnsi="Arial" w:cs="Arial"/>
              <w:color w:val="000000" w:themeColor="text1"/>
            </w:rPr>
            <w:t xml:space="preserve">Reviewed:  </w:t>
          </w:r>
          <w:r w:rsidR="00DF0331">
            <w:rPr>
              <w:rFonts w:ascii="Arial" w:hAnsi="Arial" w:cs="Arial"/>
              <w:color w:val="000000" w:themeColor="text1"/>
            </w:rPr>
            <w:t>8/10/2011</w:t>
          </w:r>
        </w:p>
        <w:p w:rsidR="005C368C" w:rsidRPr="005C368C" w:rsidRDefault="005C368C" w:rsidP="005C368C">
          <w:pPr>
            <w:pStyle w:val="Footer"/>
            <w:rPr>
              <w:rFonts w:ascii="Arial" w:hAnsi="Arial" w:cs="Arial"/>
              <w:color w:val="000000" w:themeColor="text1"/>
            </w:rPr>
          </w:pPr>
        </w:p>
        <w:p w:rsidR="005C368C" w:rsidRPr="005C368C" w:rsidRDefault="005C368C" w:rsidP="005C368C">
          <w:pPr>
            <w:pStyle w:val="Footer"/>
            <w:rPr>
              <w:rFonts w:ascii="Arial" w:hAnsi="Arial" w:cs="Arial"/>
              <w:color w:val="000000" w:themeColor="text1"/>
            </w:rPr>
          </w:pPr>
          <w:r w:rsidRPr="005C368C">
            <w:rPr>
              <w:rFonts w:ascii="Arial" w:hAnsi="Arial" w:cs="Arial"/>
              <w:color w:val="000000" w:themeColor="text1"/>
            </w:rPr>
            <w:t xml:space="preserve">Revised:  </w:t>
          </w:r>
          <w:r w:rsidR="00DF0331">
            <w:rPr>
              <w:rFonts w:ascii="Arial" w:hAnsi="Arial" w:cs="Arial"/>
              <w:color w:val="000000" w:themeColor="text1"/>
            </w:rPr>
            <w:t>4/16/2007, 11/4/2014, 10/9/2018, 7/9/2019</w:t>
          </w:r>
        </w:p>
      </w:tc>
    </w:tr>
  </w:tbl>
  <w:p w:rsidR="00F54195" w:rsidRPr="00F54195" w:rsidRDefault="00F54195" w:rsidP="00F54195">
    <w:pPr>
      <w:pStyle w:val="Footer"/>
      <w:jc w:val="center"/>
      <w:rPr>
        <w:color w:val="FF0000"/>
        <w:sz w:val="22"/>
      </w:rPr>
    </w:pPr>
    <w:r w:rsidRPr="00F54195">
      <w:rPr>
        <w:color w:val="FF0000"/>
        <w:sz w:val="22"/>
      </w:rPr>
      <w:t>Once printed this document is no longer controlled.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C7" w:rsidRDefault="007904C7">
      <w:r>
        <w:separator/>
      </w:r>
    </w:p>
  </w:footnote>
  <w:footnote w:type="continuationSeparator" w:id="0">
    <w:p w:rsidR="007904C7" w:rsidRDefault="0079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95" w:rsidRDefault="00DF0331" w:rsidP="00F54195">
    <w:pPr>
      <w:pStyle w:val="Header"/>
      <w:tabs>
        <w:tab w:val="clear" w:pos="8640"/>
        <w:tab w:val="right" w:pos="10260"/>
      </w:tabs>
      <w:jc w:val="right"/>
      <w:rPr>
        <w:rFonts w:ascii="Arial" w:hAnsi="Arial" w:cs="Arial"/>
      </w:rPr>
    </w:pPr>
    <w:r>
      <w:rPr>
        <w:rFonts w:ascii="Arial" w:hAnsi="Arial" w:cs="Arial"/>
      </w:rPr>
      <w:t>PHC 1-26</w:t>
    </w:r>
  </w:p>
  <w:p w:rsidR="00F54195" w:rsidRDefault="002975A1" w:rsidP="00F54195">
    <w:pPr>
      <w:pStyle w:val="Header"/>
      <w:tabs>
        <w:tab w:val="clear" w:pos="8640"/>
        <w:tab w:val="right" w:pos="10260"/>
      </w:tabs>
      <w:jc w:val="right"/>
    </w:pPr>
    <w:r w:rsidRPr="003C1DEB">
      <w:rPr>
        <w:rFonts w:ascii="Arial" w:hAnsi="Arial" w:cs="Arial"/>
      </w:rPr>
      <w:t xml:space="preserve">Page </w:t>
    </w:r>
    <w:r w:rsidRPr="003C1DEB">
      <w:rPr>
        <w:rFonts w:ascii="Arial" w:hAnsi="Arial" w:cs="Arial"/>
      </w:rPr>
      <w:fldChar w:fldCharType="begin"/>
    </w:r>
    <w:r w:rsidRPr="003C1DEB">
      <w:rPr>
        <w:rFonts w:ascii="Arial" w:hAnsi="Arial" w:cs="Arial"/>
      </w:rPr>
      <w:instrText xml:space="preserve"> PAGE </w:instrText>
    </w:r>
    <w:r w:rsidRPr="003C1DEB">
      <w:rPr>
        <w:rFonts w:ascii="Arial" w:hAnsi="Arial" w:cs="Arial"/>
      </w:rPr>
      <w:fldChar w:fldCharType="separate"/>
    </w:r>
    <w:r w:rsidR="00DF0331">
      <w:rPr>
        <w:rFonts w:ascii="Arial" w:hAnsi="Arial" w:cs="Arial"/>
        <w:noProof/>
      </w:rPr>
      <w:t>3</w:t>
    </w:r>
    <w:r w:rsidRPr="003C1DEB">
      <w:rPr>
        <w:rFonts w:ascii="Arial" w:hAnsi="Arial" w:cs="Arial"/>
      </w:rPr>
      <w:fldChar w:fldCharType="end"/>
    </w:r>
    <w:r w:rsidRPr="003C1DEB">
      <w:rPr>
        <w:rFonts w:ascii="Arial" w:hAnsi="Arial" w:cs="Arial"/>
      </w:rPr>
      <w:t xml:space="preserve"> of </w:t>
    </w:r>
    <w:r w:rsidR="005C368C">
      <w:rPr>
        <w:rFonts w:ascii="Arial" w:hAnsi="Arial" w:cs="Arial"/>
      </w:rPr>
      <w:fldChar w:fldCharType="begin"/>
    </w:r>
    <w:r w:rsidR="005C368C">
      <w:rPr>
        <w:rFonts w:ascii="Arial" w:hAnsi="Arial" w:cs="Arial"/>
      </w:rPr>
      <w:instrText xml:space="preserve"> NUMPAGES   \* MERGEFORMAT </w:instrText>
    </w:r>
    <w:r w:rsidR="005C368C">
      <w:rPr>
        <w:rFonts w:ascii="Arial" w:hAnsi="Arial" w:cs="Arial"/>
      </w:rPr>
      <w:fldChar w:fldCharType="separate"/>
    </w:r>
    <w:r w:rsidR="00DF0331">
      <w:rPr>
        <w:rFonts w:ascii="Arial" w:hAnsi="Arial" w:cs="Arial"/>
        <w:noProof/>
      </w:rPr>
      <w:t>3</w:t>
    </w:r>
    <w:r w:rsidR="005C368C">
      <w:rPr>
        <w:rFonts w:ascii="Arial" w:hAnsi="Arial" w:cs="Arial"/>
      </w:rPr>
      <w:fldChar w:fldCharType="end"/>
    </w:r>
    <w:r w:rsidR="00C054D7">
      <w:rPr>
        <w:rFonts w:ascii="Arial" w:hAnsi="Arial"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7AD0AF3"/>
    <w:multiLevelType w:val="hybridMultilevel"/>
    <w:tmpl w:val="73503EE4"/>
    <w:lvl w:ilvl="0" w:tplc="0409000F">
      <w:start w:val="1"/>
      <w:numFmt w:val="decimal"/>
      <w:lvlText w:val="%1."/>
      <w:lvlJc w:val="left"/>
      <w:pPr>
        <w:tabs>
          <w:tab w:val="num" w:pos="720"/>
        </w:tabs>
        <w:ind w:left="720" w:hanging="360"/>
      </w:pPr>
      <w:rPr>
        <w:rFonts w:hint="default"/>
      </w:rPr>
    </w:lvl>
    <w:lvl w:ilvl="1" w:tplc="18B2EA5A">
      <w:start w:val="1"/>
      <w:numFmt w:val="lowerLetter"/>
      <w:lvlText w:val="%2."/>
      <w:lvlJc w:val="left"/>
      <w:pPr>
        <w:tabs>
          <w:tab w:val="num" w:pos="1800"/>
        </w:tabs>
        <w:ind w:left="1800" w:hanging="720"/>
      </w:pPr>
      <w:rPr>
        <w:rFonts w:ascii="Arial" w:hAnsi="Arial" w:hint="default"/>
        <w:b w:val="0"/>
        <w:i w:val="0"/>
        <w:sz w:val="20"/>
        <w:szCs w:val="22"/>
      </w:rPr>
    </w:lvl>
    <w:lvl w:ilvl="2" w:tplc="584498B2">
      <w:start w:val="1"/>
      <w:numFmt w:val="decimal"/>
      <w:lvlText w:val="%3)"/>
      <w:lvlJc w:val="left"/>
      <w:pPr>
        <w:tabs>
          <w:tab w:val="num" w:pos="2700"/>
        </w:tabs>
        <w:ind w:left="2700" w:hanging="72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CF3CAA"/>
    <w:multiLevelType w:val="hybridMultilevel"/>
    <w:tmpl w:val="159420CE"/>
    <w:lvl w:ilvl="0" w:tplc="CB9A6834">
      <w:start w:val="1"/>
      <w:numFmt w:val="decimal"/>
      <w:lvlText w:val="%1."/>
      <w:lvlJc w:val="left"/>
      <w:pPr>
        <w:tabs>
          <w:tab w:val="num" w:pos="720"/>
        </w:tabs>
        <w:ind w:left="720" w:hanging="720"/>
      </w:pPr>
      <w:rPr>
        <w:rFonts w:hint="default"/>
      </w:rPr>
    </w:lvl>
    <w:lvl w:ilvl="1" w:tplc="8200E38C">
      <w:start w:val="1"/>
      <w:numFmt w:val="lowerLetter"/>
      <w:lvlText w:val="%2."/>
      <w:lvlJc w:val="left"/>
      <w:pPr>
        <w:tabs>
          <w:tab w:val="num" w:pos="1800"/>
        </w:tabs>
        <w:ind w:left="1800" w:hanging="720"/>
      </w:pPr>
      <w:rPr>
        <w:rFonts w:ascii="Arial" w:hAnsi="Arial" w:hint="default"/>
        <w:b w:val="0"/>
        <w:i w:val="0"/>
        <w:color w:val="auto"/>
        <w:sz w:val="20"/>
        <w:szCs w:val="22"/>
      </w:rPr>
    </w:lvl>
    <w:lvl w:ilvl="2" w:tplc="D5141B20">
      <w:start w:val="1"/>
      <w:numFmt w:val="lowerLetter"/>
      <w:lvlText w:val="%3."/>
      <w:lvlJc w:val="left"/>
      <w:pPr>
        <w:tabs>
          <w:tab w:val="num" w:pos="2700"/>
        </w:tabs>
        <w:ind w:left="2700" w:hanging="720"/>
      </w:pPr>
      <w:rPr>
        <w:rFonts w:ascii="Arial" w:hAnsi="Arial" w:hint="default"/>
        <w:b w:val="0"/>
        <w:i w:val="0"/>
        <w:sz w:val="20"/>
        <w:szCs w:val="22"/>
      </w:rPr>
    </w:lvl>
    <w:lvl w:ilvl="3" w:tplc="7BAE3C5A">
      <w:start w:val="1"/>
      <w:numFmt w:val="decimal"/>
      <w:lvlText w:val="%4)"/>
      <w:lvlJc w:val="left"/>
      <w:pPr>
        <w:tabs>
          <w:tab w:val="num" w:pos="3240"/>
        </w:tabs>
        <w:ind w:left="3240" w:hanging="720"/>
      </w:pPr>
      <w:rPr>
        <w:rFonts w:hint="default"/>
        <w:strike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071867"/>
    <w:multiLevelType w:val="hybridMultilevel"/>
    <w:tmpl w:val="C9BCB590"/>
    <w:lvl w:ilvl="0" w:tplc="CB9A68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41402C9"/>
    <w:multiLevelType w:val="hybridMultilevel"/>
    <w:tmpl w:val="D4602420"/>
    <w:lvl w:ilvl="0" w:tplc="CB9A6834">
      <w:start w:val="1"/>
      <w:numFmt w:val="decimal"/>
      <w:lvlText w:val="%1."/>
      <w:lvlJc w:val="left"/>
      <w:pPr>
        <w:tabs>
          <w:tab w:val="num" w:pos="720"/>
        </w:tabs>
        <w:ind w:left="720" w:hanging="720"/>
      </w:pPr>
      <w:rPr>
        <w:rFonts w:hint="default"/>
      </w:rPr>
    </w:lvl>
    <w:lvl w:ilvl="1" w:tplc="42EE2F2E">
      <w:start w:val="1"/>
      <w:numFmt w:val="lowerLetter"/>
      <w:lvlText w:val="%2."/>
      <w:lvlJc w:val="left"/>
      <w:pPr>
        <w:tabs>
          <w:tab w:val="num" w:pos="1800"/>
        </w:tabs>
        <w:ind w:left="1800" w:hanging="720"/>
      </w:pPr>
      <w:rPr>
        <w:rFonts w:ascii="Arial" w:hAnsi="Arial" w:hint="default"/>
        <w:b w:val="0"/>
        <w:i w:val="0"/>
        <w:sz w:val="20"/>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C96353"/>
    <w:multiLevelType w:val="hybridMultilevel"/>
    <w:tmpl w:val="705E3A88"/>
    <w:lvl w:ilvl="0" w:tplc="EB2EC696">
      <w:start w:val="1"/>
      <w:numFmt w:val="decimal"/>
      <w:lvlText w:val="%1)"/>
      <w:lvlJc w:val="left"/>
      <w:pPr>
        <w:tabs>
          <w:tab w:val="num" w:pos="2700"/>
        </w:tabs>
        <w:ind w:left="2700" w:hanging="72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69"/>
    <w:rsid w:val="00011731"/>
    <w:rsid w:val="00012ADC"/>
    <w:rsid w:val="00022D15"/>
    <w:rsid w:val="000649DB"/>
    <w:rsid w:val="000841A3"/>
    <w:rsid w:val="0009345F"/>
    <w:rsid w:val="000C07E2"/>
    <w:rsid w:val="000C1EFB"/>
    <w:rsid w:val="000E75AB"/>
    <w:rsid w:val="001179B3"/>
    <w:rsid w:val="001213B9"/>
    <w:rsid w:val="00121C70"/>
    <w:rsid w:val="00151664"/>
    <w:rsid w:val="00183D62"/>
    <w:rsid w:val="0018562F"/>
    <w:rsid w:val="001A63C8"/>
    <w:rsid w:val="001C62B2"/>
    <w:rsid w:val="001C7A43"/>
    <w:rsid w:val="001D07D4"/>
    <w:rsid w:val="002177B2"/>
    <w:rsid w:val="0024616C"/>
    <w:rsid w:val="00257373"/>
    <w:rsid w:val="0026188F"/>
    <w:rsid w:val="002826F1"/>
    <w:rsid w:val="002975A1"/>
    <w:rsid w:val="002B40DD"/>
    <w:rsid w:val="002C2E4C"/>
    <w:rsid w:val="002D4A03"/>
    <w:rsid w:val="002E40A8"/>
    <w:rsid w:val="003056E6"/>
    <w:rsid w:val="00335F27"/>
    <w:rsid w:val="00352393"/>
    <w:rsid w:val="003A15BE"/>
    <w:rsid w:val="003B4B3F"/>
    <w:rsid w:val="003C1DEB"/>
    <w:rsid w:val="003E58D5"/>
    <w:rsid w:val="00402436"/>
    <w:rsid w:val="00430DF7"/>
    <w:rsid w:val="0044132B"/>
    <w:rsid w:val="00443A81"/>
    <w:rsid w:val="004736C8"/>
    <w:rsid w:val="00474C30"/>
    <w:rsid w:val="00484658"/>
    <w:rsid w:val="00485238"/>
    <w:rsid w:val="0048524A"/>
    <w:rsid w:val="004A3F29"/>
    <w:rsid w:val="004B1052"/>
    <w:rsid w:val="004C68BF"/>
    <w:rsid w:val="004E0C2E"/>
    <w:rsid w:val="00500DC5"/>
    <w:rsid w:val="00506896"/>
    <w:rsid w:val="00532D86"/>
    <w:rsid w:val="00541376"/>
    <w:rsid w:val="00555134"/>
    <w:rsid w:val="005A1247"/>
    <w:rsid w:val="005A6688"/>
    <w:rsid w:val="005A6FD8"/>
    <w:rsid w:val="005C368C"/>
    <w:rsid w:val="005C6660"/>
    <w:rsid w:val="005F2CD5"/>
    <w:rsid w:val="00637348"/>
    <w:rsid w:val="00644AF6"/>
    <w:rsid w:val="00663C31"/>
    <w:rsid w:val="0067536D"/>
    <w:rsid w:val="006C1680"/>
    <w:rsid w:val="006C55E3"/>
    <w:rsid w:val="006E1AE2"/>
    <w:rsid w:val="006E3002"/>
    <w:rsid w:val="007063C1"/>
    <w:rsid w:val="00720FE7"/>
    <w:rsid w:val="0073264E"/>
    <w:rsid w:val="0073291C"/>
    <w:rsid w:val="007904C7"/>
    <w:rsid w:val="007C4EB0"/>
    <w:rsid w:val="007C50AA"/>
    <w:rsid w:val="007D346A"/>
    <w:rsid w:val="00874CDC"/>
    <w:rsid w:val="008764F1"/>
    <w:rsid w:val="008822A6"/>
    <w:rsid w:val="008B4746"/>
    <w:rsid w:val="008B7D48"/>
    <w:rsid w:val="008E5F12"/>
    <w:rsid w:val="008F2E7B"/>
    <w:rsid w:val="00910475"/>
    <w:rsid w:val="00920A97"/>
    <w:rsid w:val="00930229"/>
    <w:rsid w:val="00931655"/>
    <w:rsid w:val="0093610E"/>
    <w:rsid w:val="009470C1"/>
    <w:rsid w:val="00971758"/>
    <w:rsid w:val="0097501F"/>
    <w:rsid w:val="00976FA7"/>
    <w:rsid w:val="00993781"/>
    <w:rsid w:val="009D172C"/>
    <w:rsid w:val="00A146CC"/>
    <w:rsid w:val="00A221AD"/>
    <w:rsid w:val="00A26083"/>
    <w:rsid w:val="00A31EDF"/>
    <w:rsid w:val="00A477DF"/>
    <w:rsid w:val="00A564D4"/>
    <w:rsid w:val="00A6232A"/>
    <w:rsid w:val="00A65C5E"/>
    <w:rsid w:val="00A72AFA"/>
    <w:rsid w:val="00A832FB"/>
    <w:rsid w:val="00AA4DD9"/>
    <w:rsid w:val="00AC28DD"/>
    <w:rsid w:val="00AC4222"/>
    <w:rsid w:val="00AD031F"/>
    <w:rsid w:val="00B34A6F"/>
    <w:rsid w:val="00B473ED"/>
    <w:rsid w:val="00B65BCF"/>
    <w:rsid w:val="00B709BC"/>
    <w:rsid w:val="00B7417B"/>
    <w:rsid w:val="00B97369"/>
    <w:rsid w:val="00BD6ADC"/>
    <w:rsid w:val="00BE401A"/>
    <w:rsid w:val="00C054D7"/>
    <w:rsid w:val="00C055FB"/>
    <w:rsid w:val="00C90FAC"/>
    <w:rsid w:val="00CC6399"/>
    <w:rsid w:val="00CE205D"/>
    <w:rsid w:val="00CE2093"/>
    <w:rsid w:val="00CE5813"/>
    <w:rsid w:val="00D03D24"/>
    <w:rsid w:val="00D15B0B"/>
    <w:rsid w:val="00D2344F"/>
    <w:rsid w:val="00D234BD"/>
    <w:rsid w:val="00D269ED"/>
    <w:rsid w:val="00D61B13"/>
    <w:rsid w:val="00D64F6E"/>
    <w:rsid w:val="00D65164"/>
    <w:rsid w:val="00D74A90"/>
    <w:rsid w:val="00DB7AFA"/>
    <w:rsid w:val="00DE381A"/>
    <w:rsid w:val="00DF0331"/>
    <w:rsid w:val="00DF03F3"/>
    <w:rsid w:val="00DF17C3"/>
    <w:rsid w:val="00E30A5F"/>
    <w:rsid w:val="00E51286"/>
    <w:rsid w:val="00E62EC9"/>
    <w:rsid w:val="00E64792"/>
    <w:rsid w:val="00E80141"/>
    <w:rsid w:val="00E959D9"/>
    <w:rsid w:val="00EA036A"/>
    <w:rsid w:val="00EA641D"/>
    <w:rsid w:val="00EB67E3"/>
    <w:rsid w:val="00F018B1"/>
    <w:rsid w:val="00F13399"/>
    <w:rsid w:val="00F135D3"/>
    <w:rsid w:val="00F21990"/>
    <w:rsid w:val="00F2400F"/>
    <w:rsid w:val="00F25847"/>
    <w:rsid w:val="00F52307"/>
    <w:rsid w:val="00F54195"/>
    <w:rsid w:val="00F67BE6"/>
    <w:rsid w:val="00FA07DF"/>
    <w:rsid w:val="00FE44B0"/>
    <w:rsid w:val="00FF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86A1C85"/>
  <w15:chartTrackingRefBased/>
  <w15:docId w15:val="{D8D287A4-560E-4C43-B6E2-AA1A2244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26188F"/>
    <w:pPr>
      <w:autoSpaceDE w:val="0"/>
      <w:autoSpaceDN w:val="0"/>
      <w:adjustRightInd w:val="0"/>
    </w:pPr>
    <w:rPr>
      <w:rFonts w:ascii="Arial" w:hAnsi="Arial"/>
      <w:sz w:val="24"/>
      <w:szCs w:val="24"/>
    </w:rPr>
  </w:style>
  <w:style w:type="character" w:styleId="CommentReference">
    <w:name w:val="annotation reference"/>
    <w:basedOn w:val="DefaultParagraphFont"/>
    <w:semiHidden/>
    <w:rsid w:val="00335F27"/>
    <w:rPr>
      <w:sz w:val="16"/>
      <w:szCs w:val="16"/>
    </w:rPr>
  </w:style>
  <w:style w:type="paragraph" w:styleId="CommentText">
    <w:name w:val="annotation text"/>
    <w:basedOn w:val="Normal"/>
    <w:semiHidden/>
    <w:rsid w:val="00335F27"/>
    <w:rPr>
      <w:szCs w:val="20"/>
    </w:rPr>
  </w:style>
  <w:style w:type="paragraph" w:styleId="CommentSubject">
    <w:name w:val="annotation subject"/>
    <w:basedOn w:val="CommentText"/>
    <w:next w:val="CommentText"/>
    <w:semiHidden/>
    <w:rsid w:val="00335F27"/>
    <w:rPr>
      <w:b/>
      <w:bCs/>
    </w:rPr>
  </w:style>
  <w:style w:type="paragraph" w:styleId="PlainText">
    <w:name w:val="Plain Text"/>
    <w:basedOn w:val="Normal"/>
    <w:link w:val="PlainTextChar"/>
    <w:uiPriority w:val="99"/>
    <w:unhideWhenUsed/>
    <w:rsid w:val="002975A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2975A1"/>
    <w:rPr>
      <w:rFonts w:ascii="Consolas" w:eastAsia="Calibri" w:hAnsi="Consolas"/>
      <w:sz w:val="21"/>
      <w:szCs w:val="21"/>
    </w:rPr>
  </w:style>
  <w:style w:type="character" w:customStyle="1" w:styleId="FooterChar">
    <w:name w:val="Footer Char"/>
    <w:basedOn w:val="DefaultParagraphFont"/>
    <w:link w:val="Footer"/>
    <w:rsid w:val="00F54195"/>
    <w:rPr>
      <w:szCs w:val="24"/>
    </w:rPr>
  </w:style>
  <w:style w:type="paragraph" w:styleId="ListParagraph">
    <w:name w:val="List Paragraph"/>
    <w:basedOn w:val="Normal"/>
    <w:uiPriority w:val="34"/>
    <w:qFormat/>
    <w:rsid w:val="00FA07DF"/>
    <w:pPr>
      <w:ind w:left="720"/>
    </w:pPr>
  </w:style>
  <w:style w:type="character" w:styleId="Hyperlink">
    <w:name w:val="Hyperlink"/>
    <w:basedOn w:val="DefaultParagraphFont"/>
    <w:uiPriority w:val="99"/>
    <w:unhideWhenUsed/>
    <w:rsid w:val="00FA0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5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FAEE-5DF0-49F6-850A-489C09E0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cp:lastModifiedBy>Jeremy Fuson</cp:lastModifiedBy>
  <cp:revision>2</cp:revision>
  <cp:lastPrinted>2009-02-10T23:09:00Z</cp:lastPrinted>
  <dcterms:created xsi:type="dcterms:W3CDTF">2019-10-08T20:08:00Z</dcterms:created>
  <dcterms:modified xsi:type="dcterms:W3CDTF">2019-10-08T20:08:00Z</dcterms:modified>
</cp:coreProperties>
</file>